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DF8F" w14:textId="77777777" w:rsidR="008F71A2" w:rsidRPr="008F71A2" w:rsidRDefault="008F71A2" w:rsidP="008F71A2">
      <w:pPr>
        <w:framePr w:hSpace="141" w:wrap="auto" w:vAnchor="text" w:hAnchor="page" w:x="631" w:y="23"/>
        <w:spacing w:line="254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8F71A2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2BA95E68" wp14:editId="1B978417">
            <wp:extent cx="942975" cy="809625"/>
            <wp:effectExtent l="0" t="0" r="9525" b="9525"/>
            <wp:docPr id="1" name="Obraz 1" descr="logz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z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5A74" w14:textId="77777777" w:rsidR="008F71A2" w:rsidRPr="008F71A2" w:rsidRDefault="008F71A2" w:rsidP="008F71A2">
      <w:pPr>
        <w:spacing w:line="254" w:lineRule="auto"/>
        <w:jc w:val="center"/>
        <w:rPr>
          <w:rFonts w:ascii="Arial" w:eastAsia="Times New Roman" w:hAnsi="Arial"/>
          <w:b/>
          <w:spacing w:val="24"/>
          <w:sz w:val="32"/>
          <w:szCs w:val="20"/>
          <w:lang w:eastAsia="pl-PL"/>
        </w:rPr>
      </w:pPr>
      <w:r w:rsidRPr="008F71A2">
        <w:rPr>
          <w:rFonts w:ascii="Times New Roman" w:eastAsia="Times New Roman" w:hAnsi="Times New Roman"/>
          <w:b/>
          <w:color w:val="000000"/>
          <w:spacing w:val="36"/>
          <w:sz w:val="36"/>
          <w:szCs w:val="20"/>
          <w:lang w:eastAsia="pl-PL"/>
        </w:rPr>
        <w:t>POLSKI ZWIĄZEK DZIAŁKOWCÓW</w:t>
      </w:r>
    </w:p>
    <w:p w14:paraId="763DCC69" w14:textId="77777777" w:rsidR="008F71A2" w:rsidRPr="008F71A2" w:rsidRDefault="008F71A2" w:rsidP="008F71A2">
      <w:pPr>
        <w:spacing w:line="254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pl-PL"/>
        </w:rPr>
      </w:pPr>
      <w:r w:rsidRPr="008F71A2">
        <w:rPr>
          <w:rFonts w:ascii="Times New Roman" w:eastAsia="Times New Roman" w:hAnsi="Times New Roman"/>
          <w:b/>
          <w:spacing w:val="24"/>
          <w:sz w:val="28"/>
          <w:szCs w:val="28"/>
          <w:lang w:eastAsia="pl-PL"/>
        </w:rPr>
        <w:t xml:space="preserve">STOWARZYSZENIE OGRODOWE </w:t>
      </w:r>
    </w:p>
    <w:p w14:paraId="3BD7C1CB" w14:textId="77777777" w:rsidR="008F71A2" w:rsidRPr="008F71A2" w:rsidRDefault="008F71A2" w:rsidP="008F71A2">
      <w:pPr>
        <w:spacing w:line="254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1A2">
        <w:rPr>
          <w:rFonts w:ascii="Times New Roman" w:eastAsia="Times New Roman" w:hAnsi="Times New Roman"/>
          <w:sz w:val="20"/>
          <w:szCs w:val="20"/>
          <w:lang w:eastAsia="pl-PL"/>
        </w:rPr>
        <w:t xml:space="preserve">00-728 Warszawa  ul. Bobrowiecka 1,  Nr KRS 0000293886;  NIP 526-00-07-711; </w:t>
      </w:r>
      <w:hyperlink r:id="rId8" w:history="1">
        <w:r w:rsidRPr="008F71A2">
          <w:rPr>
            <w:rFonts w:eastAsia="Times New Roman"/>
            <w:color w:val="0563C1" w:themeColor="hyperlink"/>
            <w:sz w:val="20"/>
            <w:szCs w:val="20"/>
            <w:u w:val="single"/>
            <w:lang w:eastAsia="pl-PL"/>
          </w:rPr>
          <w:t>prezespzd@pzd.pl</w:t>
        </w:r>
      </w:hyperlink>
    </w:p>
    <w:p w14:paraId="5F326714" w14:textId="77777777" w:rsidR="008F71A2" w:rsidRPr="008F71A2" w:rsidRDefault="008F71A2" w:rsidP="008F71A2">
      <w:pPr>
        <w:spacing w:line="254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1A2">
        <w:rPr>
          <w:rFonts w:ascii="Times New Roman" w:eastAsia="Times New Roman" w:hAnsi="Times New Roman"/>
          <w:sz w:val="20"/>
          <w:szCs w:val="20"/>
          <w:lang w:eastAsia="pl-PL"/>
        </w:rPr>
        <w:t>tel. 22 101 34 44;  fax 22 101 34 60</w:t>
      </w:r>
    </w:p>
    <w:p w14:paraId="2750226A" w14:textId="610E2EFC" w:rsidR="003912BD" w:rsidRPr="000D4058" w:rsidRDefault="003912BD" w:rsidP="003912BD">
      <w:pPr>
        <w:pStyle w:val="Teksttreci20"/>
        <w:shd w:val="clear" w:color="auto" w:fill="auto"/>
        <w:spacing w:after="721"/>
        <w:ind w:firstLine="0"/>
        <w:jc w:val="right"/>
        <w:rPr>
          <w:sz w:val="27"/>
          <w:szCs w:val="27"/>
        </w:rPr>
      </w:pPr>
      <w:r w:rsidRPr="000D4058">
        <w:rPr>
          <w:sz w:val="27"/>
          <w:szCs w:val="27"/>
        </w:rPr>
        <w:t>Warszawa dn.</w:t>
      </w:r>
      <w:r w:rsidR="008F71A2" w:rsidRPr="000D4058">
        <w:rPr>
          <w:sz w:val="27"/>
          <w:szCs w:val="27"/>
        </w:rPr>
        <w:t>27</w:t>
      </w:r>
      <w:r w:rsidRPr="000D4058">
        <w:rPr>
          <w:sz w:val="27"/>
          <w:szCs w:val="27"/>
        </w:rPr>
        <w:t>.0</w:t>
      </w:r>
      <w:r w:rsidR="008F71A2" w:rsidRPr="000D4058">
        <w:rPr>
          <w:sz w:val="27"/>
          <w:szCs w:val="27"/>
        </w:rPr>
        <w:t>2</w:t>
      </w:r>
      <w:r w:rsidRPr="000D4058">
        <w:rPr>
          <w:sz w:val="27"/>
          <w:szCs w:val="27"/>
        </w:rPr>
        <w:t xml:space="preserve">.2019r. </w:t>
      </w:r>
    </w:p>
    <w:p w14:paraId="36087340" w14:textId="63297E75" w:rsidR="007771B4" w:rsidRPr="000D4058" w:rsidRDefault="007771B4" w:rsidP="00B5306C">
      <w:pPr>
        <w:pStyle w:val="Teksttreci20"/>
        <w:shd w:val="clear" w:color="auto" w:fill="auto"/>
        <w:spacing w:after="721"/>
        <w:ind w:firstLine="0"/>
        <w:jc w:val="center"/>
        <w:rPr>
          <w:sz w:val="27"/>
          <w:szCs w:val="27"/>
        </w:rPr>
      </w:pPr>
      <w:bookmarkStart w:id="1" w:name="_Hlk2255457"/>
      <w:r w:rsidRPr="000D4058">
        <w:rPr>
          <w:sz w:val="27"/>
          <w:szCs w:val="27"/>
        </w:rPr>
        <w:t>Opinia w sprawie</w:t>
      </w:r>
      <w:r w:rsidR="008F71A2" w:rsidRPr="000D4058">
        <w:rPr>
          <w:sz w:val="27"/>
          <w:szCs w:val="27"/>
        </w:rPr>
        <w:t xml:space="preserve"> uchwalonej przez Sejm Rzeczypospolitej Polskiej na 77. posiedzeniu w dniu 20 lutego 2019 r. ustawy o zmianie ustawy o gospodarce nieruchomościami</w:t>
      </w:r>
      <w:r w:rsidRPr="000D4058">
        <w:rPr>
          <w:sz w:val="27"/>
          <w:szCs w:val="27"/>
        </w:rPr>
        <w:t xml:space="preserve"> </w:t>
      </w:r>
      <w:r w:rsidR="008F71A2" w:rsidRPr="000D4058">
        <w:rPr>
          <w:sz w:val="27"/>
          <w:szCs w:val="27"/>
        </w:rPr>
        <w:t>(Druk senacki nr 1092)</w:t>
      </w:r>
    </w:p>
    <w:bookmarkEnd w:id="1"/>
    <w:p w14:paraId="29E13942" w14:textId="711739A2" w:rsidR="009E2205" w:rsidRPr="000D4058" w:rsidRDefault="007771B4" w:rsidP="007771B4">
      <w:pPr>
        <w:rPr>
          <w:rFonts w:ascii="Times New Roman" w:hAnsi="Times New Roman" w:cs="Times New Roman"/>
          <w:b/>
          <w:sz w:val="27"/>
          <w:szCs w:val="27"/>
        </w:rPr>
      </w:pPr>
      <w:r w:rsidRPr="000D4058">
        <w:rPr>
          <w:rFonts w:ascii="Times New Roman" w:hAnsi="Times New Roman" w:cs="Times New Roman"/>
          <w:b/>
          <w:sz w:val="27"/>
          <w:szCs w:val="27"/>
        </w:rPr>
        <w:t xml:space="preserve">Cel </w:t>
      </w:r>
      <w:r w:rsidR="0013438E" w:rsidRPr="000D4058">
        <w:rPr>
          <w:rFonts w:ascii="Times New Roman" w:hAnsi="Times New Roman" w:cs="Times New Roman"/>
          <w:b/>
          <w:sz w:val="27"/>
          <w:szCs w:val="27"/>
        </w:rPr>
        <w:t>ustawy</w:t>
      </w:r>
      <w:r w:rsidRPr="000D405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57F95F15" w14:textId="51AD2C04" w:rsidR="007771B4" w:rsidRPr="000D4058" w:rsidRDefault="009E2205" w:rsidP="00CA66B6">
      <w:pPr>
        <w:spacing w:line="276" w:lineRule="auto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>Jak wynika z treści</w:t>
      </w:r>
      <w:r w:rsidR="0077106C" w:rsidRPr="000D4058">
        <w:rPr>
          <w:rFonts w:ascii="Times New Roman" w:hAnsi="Times New Roman" w:cs="Times New Roman"/>
          <w:sz w:val="27"/>
          <w:szCs w:val="27"/>
        </w:rPr>
        <w:t xml:space="preserve"> </w:t>
      </w:r>
      <w:r w:rsidR="007771B4" w:rsidRPr="000D4058">
        <w:rPr>
          <w:rFonts w:ascii="Times New Roman" w:hAnsi="Times New Roman" w:cs="Times New Roman"/>
          <w:sz w:val="27"/>
          <w:szCs w:val="27"/>
        </w:rPr>
        <w:t>uzasadnieni</w:t>
      </w:r>
      <w:r w:rsidRPr="000D4058">
        <w:rPr>
          <w:rFonts w:ascii="Times New Roman" w:hAnsi="Times New Roman" w:cs="Times New Roman"/>
          <w:sz w:val="27"/>
          <w:szCs w:val="27"/>
        </w:rPr>
        <w:t>a</w:t>
      </w:r>
      <w:r w:rsidR="008F71A2" w:rsidRPr="000D4058">
        <w:rPr>
          <w:rFonts w:ascii="Times New Roman" w:hAnsi="Times New Roman" w:cs="Times New Roman"/>
          <w:sz w:val="27"/>
          <w:szCs w:val="27"/>
        </w:rPr>
        <w:t xml:space="preserve"> do</w:t>
      </w:r>
      <w:r w:rsidR="007771B4" w:rsidRPr="000D4058">
        <w:rPr>
          <w:rFonts w:ascii="Times New Roman" w:hAnsi="Times New Roman" w:cs="Times New Roman"/>
          <w:sz w:val="27"/>
          <w:szCs w:val="27"/>
        </w:rPr>
        <w:t xml:space="preserve"> p</w:t>
      </w:r>
      <w:r w:rsidR="007771B4" w:rsidRPr="000D4058">
        <w:rPr>
          <w:rFonts w:ascii="Times New Roman" w:hAnsi="Times New Roman" w:cs="Times New Roman"/>
          <w:sz w:val="27"/>
          <w:szCs w:val="27"/>
          <w:lang w:eastAsia="pl-PL" w:bidi="pl-PL"/>
        </w:rPr>
        <w:t>rojekt</w:t>
      </w:r>
      <w:r w:rsidR="008F71A2" w:rsidRPr="000D4058">
        <w:rPr>
          <w:rFonts w:ascii="Times New Roman" w:hAnsi="Times New Roman" w:cs="Times New Roman"/>
          <w:sz w:val="27"/>
          <w:szCs w:val="27"/>
          <w:lang w:eastAsia="pl-PL" w:bidi="pl-PL"/>
        </w:rPr>
        <w:t>u</w:t>
      </w:r>
      <w:r w:rsidR="007771B4" w:rsidRPr="000D4058">
        <w:rPr>
          <w:rFonts w:ascii="Times New Roman" w:hAnsi="Times New Roman" w:cs="Times New Roman"/>
          <w:sz w:val="27"/>
          <w:szCs w:val="27"/>
          <w:lang w:eastAsia="pl-PL" w:bidi="pl-PL"/>
        </w:rPr>
        <w:t xml:space="preserve"> </w:t>
      </w:r>
      <w:r w:rsidR="007771B4" w:rsidRPr="000D4058">
        <w:rPr>
          <w:rStyle w:val="Teksttreci2115ptKursywa"/>
          <w:rFonts w:eastAsiaTheme="minorHAnsi"/>
          <w:color w:val="auto"/>
          <w:sz w:val="27"/>
          <w:szCs w:val="27"/>
        </w:rPr>
        <w:t>ustawy o zmianie ustawy o gospodarce nieruchomościami</w:t>
      </w:r>
      <w:r w:rsidR="007771B4" w:rsidRPr="000D4058">
        <w:rPr>
          <w:rFonts w:ascii="Times New Roman" w:hAnsi="Times New Roman" w:cs="Times New Roman"/>
          <w:sz w:val="27"/>
          <w:szCs w:val="27"/>
          <w:lang w:eastAsia="pl-PL" w:bidi="pl-PL"/>
        </w:rPr>
        <w:t xml:space="preserve"> ma </w:t>
      </w:r>
      <w:r w:rsidR="0013438E" w:rsidRPr="000D4058">
        <w:rPr>
          <w:rFonts w:ascii="Times New Roman" w:hAnsi="Times New Roman" w:cs="Times New Roman"/>
          <w:sz w:val="27"/>
          <w:szCs w:val="27"/>
          <w:lang w:eastAsia="pl-PL" w:bidi="pl-PL"/>
        </w:rPr>
        <w:t xml:space="preserve">ona </w:t>
      </w:r>
      <w:r w:rsidR="007771B4" w:rsidRPr="000D4058">
        <w:rPr>
          <w:rFonts w:ascii="Times New Roman" w:hAnsi="Times New Roman" w:cs="Times New Roman"/>
          <w:sz w:val="27"/>
          <w:szCs w:val="27"/>
          <w:lang w:eastAsia="pl-PL" w:bidi="pl-PL"/>
        </w:rPr>
        <w:t>na celu wykonanie wyroków Trybunału Konstytucyjnego:</w:t>
      </w:r>
    </w:p>
    <w:p w14:paraId="14C18DEF" w14:textId="77777777" w:rsidR="007771B4" w:rsidRPr="000D4058" w:rsidRDefault="007771B4" w:rsidP="00CA66B6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276" w:lineRule="auto"/>
        <w:ind w:left="860" w:hanging="280"/>
        <w:rPr>
          <w:sz w:val="27"/>
          <w:szCs w:val="27"/>
        </w:rPr>
      </w:pPr>
      <w:bookmarkStart w:id="2" w:name="_Hlk534973585"/>
      <w:r w:rsidRPr="000D4058">
        <w:rPr>
          <w:sz w:val="27"/>
          <w:szCs w:val="27"/>
          <w:lang w:eastAsia="pl-PL" w:bidi="pl-PL"/>
        </w:rPr>
        <w:t xml:space="preserve">z dnia </w:t>
      </w:r>
      <w:bookmarkStart w:id="3" w:name="_Hlk534971663"/>
      <w:r w:rsidRPr="000D4058">
        <w:rPr>
          <w:sz w:val="27"/>
          <w:szCs w:val="27"/>
          <w:lang w:eastAsia="pl-PL" w:bidi="pl-PL"/>
        </w:rPr>
        <w:t xml:space="preserve">14 lipca 2015 r. (sygn. akt SK 26/14), </w:t>
      </w:r>
      <w:bookmarkEnd w:id="3"/>
      <w:r w:rsidRPr="000D4058">
        <w:rPr>
          <w:sz w:val="27"/>
          <w:szCs w:val="27"/>
          <w:lang w:eastAsia="pl-PL" w:bidi="pl-PL"/>
        </w:rPr>
        <w:t xml:space="preserve">w którym orzeczono niekonstytucyjność art. 136 ust. 3 zdanie pierwsze </w:t>
      </w:r>
      <w:r w:rsidRPr="000D4058">
        <w:rPr>
          <w:rStyle w:val="Teksttreci2115ptKursywa"/>
          <w:color w:val="auto"/>
          <w:sz w:val="27"/>
          <w:szCs w:val="27"/>
        </w:rPr>
        <w:t>ustawy z dnia 21 sierpnia 1997 r. o gospodarce nieruchomościami (Dz. U. z 2018 r. poz. 2204),</w:t>
      </w:r>
      <w:r w:rsidRPr="000D4058">
        <w:rPr>
          <w:sz w:val="27"/>
          <w:szCs w:val="27"/>
          <w:lang w:eastAsia="pl-PL" w:bidi="pl-PL"/>
        </w:rPr>
        <w:t xml:space="preserve"> zwanej dalej „ugn”, w zakresie, w jakim uzależnia przewidziane w nim żądanie byłego współwłaściciela wywłaszczonej nieruchomości lub jego spadkobierców od zgody pozostałych byłych współwłaścicieli nieruchomości lub ich spadkobierców,</w:t>
      </w:r>
    </w:p>
    <w:p w14:paraId="606ED37A" w14:textId="77777777" w:rsidR="007771B4" w:rsidRPr="000D4058" w:rsidRDefault="007771B4" w:rsidP="00CA66B6">
      <w:pPr>
        <w:pStyle w:val="Teksttreci20"/>
        <w:numPr>
          <w:ilvl w:val="0"/>
          <w:numId w:val="1"/>
        </w:numPr>
        <w:shd w:val="clear" w:color="auto" w:fill="auto"/>
        <w:tabs>
          <w:tab w:val="left" w:pos="857"/>
        </w:tabs>
        <w:spacing w:after="120" w:line="276" w:lineRule="auto"/>
        <w:ind w:left="860" w:hanging="280"/>
        <w:rPr>
          <w:sz w:val="27"/>
          <w:szCs w:val="27"/>
        </w:rPr>
      </w:pPr>
      <w:bookmarkStart w:id="4" w:name="_Hlk534971708"/>
      <w:r w:rsidRPr="000D4058">
        <w:rPr>
          <w:sz w:val="27"/>
          <w:szCs w:val="27"/>
          <w:lang w:eastAsia="pl-PL" w:bidi="pl-PL"/>
        </w:rPr>
        <w:t xml:space="preserve">z dnia 12 grudnia 2017 r. (sygn. akt SK 39/15), </w:t>
      </w:r>
      <w:bookmarkEnd w:id="2"/>
      <w:bookmarkEnd w:id="4"/>
      <w:r w:rsidRPr="000D4058">
        <w:rPr>
          <w:sz w:val="27"/>
          <w:szCs w:val="27"/>
          <w:lang w:eastAsia="pl-PL" w:bidi="pl-PL"/>
        </w:rPr>
        <w:t xml:space="preserve">w którym orzeczono o niekonstytucyjności art. 136 ust. 3 zdanie pierwsze </w:t>
      </w:r>
      <w:r w:rsidRPr="000D4058">
        <w:rPr>
          <w:rStyle w:val="Teksttreci2115ptKursywa"/>
          <w:color w:val="auto"/>
          <w:sz w:val="27"/>
          <w:szCs w:val="27"/>
        </w:rPr>
        <w:t>ugn</w:t>
      </w:r>
      <w:r w:rsidRPr="000D4058">
        <w:rPr>
          <w:sz w:val="27"/>
          <w:szCs w:val="27"/>
          <w:lang w:eastAsia="pl-PL" w:bidi="pl-PL"/>
        </w:rPr>
        <w:t xml:space="preserve"> w zakresie, w jakim wyłącza prawo do żądania przez poprzedniego właściciela lub jego spadkobiercę zwrotu nieruchomości nabytej przez Skarb Państwa lub jednostkę samorządu terytorialnego w drodze umowy, o której mowa w art. 114 ust. 1 </w:t>
      </w:r>
      <w:r w:rsidRPr="000D4058">
        <w:rPr>
          <w:rStyle w:val="Teksttreci2115ptKursywa"/>
          <w:color w:val="auto"/>
          <w:sz w:val="27"/>
          <w:szCs w:val="27"/>
        </w:rPr>
        <w:t>ugn,</w:t>
      </w:r>
      <w:r w:rsidRPr="000D4058">
        <w:rPr>
          <w:sz w:val="27"/>
          <w:szCs w:val="27"/>
          <w:lang w:eastAsia="pl-PL" w:bidi="pl-PL"/>
        </w:rPr>
        <w:t xml:space="preserve"> gdy nieruchomość stała się zbędna na cel publiczny uzasadniający jej nabycie.</w:t>
      </w:r>
    </w:p>
    <w:p w14:paraId="16B3DE5E" w14:textId="5E741E19" w:rsidR="007771B4" w:rsidRPr="000D4058" w:rsidRDefault="007771B4" w:rsidP="00CA66B6">
      <w:pPr>
        <w:pStyle w:val="Teksttreci20"/>
        <w:shd w:val="clear" w:color="auto" w:fill="auto"/>
        <w:spacing w:after="255" w:line="276" w:lineRule="auto"/>
        <w:ind w:firstLine="580"/>
        <w:rPr>
          <w:sz w:val="27"/>
          <w:szCs w:val="27"/>
        </w:rPr>
      </w:pPr>
      <w:r w:rsidRPr="000D4058">
        <w:rPr>
          <w:sz w:val="27"/>
          <w:szCs w:val="27"/>
          <w:lang w:eastAsia="pl-PL" w:bidi="pl-PL"/>
        </w:rPr>
        <w:t xml:space="preserve">Ponadto celem </w:t>
      </w:r>
      <w:r w:rsidRPr="000D4058">
        <w:rPr>
          <w:rStyle w:val="Teksttreci2115ptKursywa"/>
          <w:i w:val="0"/>
          <w:color w:val="auto"/>
          <w:sz w:val="27"/>
          <w:szCs w:val="27"/>
        </w:rPr>
        <w:t>ustawy</w:t>
      </w:r>
      <w:r w:rsidRPr="000D4058">
        <w:rPr>
          <w:sz w:val="27"/>
          <w:szCs w:val="27"/>
          <w:lang w:eastAsia="pl-PL" w:bidi="pl-PL"/>
        </w:rPr>
        <w:t xml:space="preserve"> jest zagwarantowanie pewności stosunków prawnych w odniesieniu do nieruchomości objętych regulacją art. 136 </w:t>
      </w:r>
      <w:r w:rsidRPr="000D4058">
        <w:rPr>
          <w:rStyle w:val="Teksttreci2115ptKursywa"/>
          <w:color w:val="auto"/>
          <w:sz w:val="27"/>
          <w:szCs w:val="27"/>
        </w:rPr>
        <w:t>ugn</w:t>
      </w:r>
      <w:r w:rsidRPr="000D4058">
        <w:rPr>
          <w:sz w:val="27"/>
          <w:szCs w:val="27"/>
          <w:lang w:eastAsia="pl-PL" w:bidi="pl-PL"/>
        </w:rPr>
        <w:t xml:space="preserve"> przez wprowadzenie terminu wygaśnięcia uprawnienia o zwrot wywłaszczonej nieruchomości.</w:t>
      </w:r>
    </w:p>
    <w:p w14:paraId="644719FA" w14:textId="4F2D92EB" w:rsidR="009E2205" w:rsidRPr="000D4058" w:rsidRDefault="008E572C" w:rsidP="003912BD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0D4058">
        <w:rPr>
          <w:rFonts w:ascii="Times New Roman" w:hAnsi="Times New Roman" w:cs="Times New Roman"/>
          <w:b/>
          <w:sz w:val="27"/>
          <w:szCs w:val="27"/>
        </w:rPr>
        <w:t>Najważniejsze z</w:t>
      </w:r>
      <w:r w:rsidR="009E2205" w:rsidRPr="000D4058">
        <w:rPr>
          <w:rFonts w:ascii="Times New Roman" w:hAnsi="Times New Roman" w:cs="Times New Roman"/>
          <w:b/>
          <w:sz w:val="27"/>
          <w:szCs w:val="27"/>
        </w:rPr>
        <w:t>ałożenia</w:t>
      </w:r>
      <w:r w:rsidR="0013438E" w:rsidRPr="000D4058">
        <w:rPr>
          <w:rFonts w:ascii="Times New Roman" w:hAnsi="Times New Roman" w:cs="Times New Roman"/>
          <w:b/>
          <w:sz w:val="27"/>
          <w:szCs w:val="27"/>
        </w:rPr>
        <w:t xml:space="preserve"> ustawy</w:t>
      </w:r>
      <w:r w:rsidR="009E2205" w:rsidRPr="000D4058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14:paraId="57C21F6C" w14:textId="13D15CD8" w:rsidR="004535FB" w:rsidRPr="000D4058" w:rsidRDefault="0013438E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color w:val="auto"/>
          <w:sz w:val="27"/>
          <w:szCs w:val="27"/>
        </w:rPr>
        <w:t>U</w:t>
      </w:r>
      <w:r w:rsidR="009E2205" w:rsidRPr="000D4058">
        <w:rPr>
          <w:rStyle w:val="Teksttreci2115ptKursywa"/>
          <w:rFonts w:eastAsiaTheme="minorHAnsi"/>
          <w:color w:val="auto"/>
          <w:sz w:val="27"/>
          <w:szCs w:val="27"/>
        </w:rPr>
        <w:t>staw</w:t>
      </w:r>
      <w:r w:rsidRPr="000D4058">
        <w:rPr>
          <w:rStyle w:val="Teksttreci2115ptKursywa"/>
          <w:rFonts w:eastAsiaTheme="minorHAnsi"/>
          <w:color w:val="auto"/>
          <w:sz w:val="27"/>
          <w:szCs w:val="27"/>
        </w:rPr>
        <w:t>a</w:t>
      </w:r>
      <w:r w:rsidR="009E2205" w:rsidRPr="000D4058">
        <w:rPr>
          <w:rStyle w:val="Teksttreci2115ptKursywa"/>
          <w:rFonts w:eastAsiaTheme="minorHAnsi"/>
          <w:color w:val="auto"/>
          <w:sz w:val="27"/>
          <w:szCs w:val="27"/>
        </w:rPr>
        <w:t xml:space="preserve"> o zmianie ustawy o gospodarce nieruchomościami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zakłada</w:t>
      </w:r>
      <w:r w:rsidR="009E2205" w:rsidRPr="000D4058">
        <w:rPr>
          <w:rStyle w:val="Teksttreci2115ptKursywa"/>
          <w:rFonts w:eastAsiaTheme="minorHAnsi"/>
          <w:color w:val="auto"/>
          <w:sz w:val="27"/>
          <w:szCs w:val="27"/>
        </w:rPr>
        <w:t xml:space="preserve">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realizację w/w</w:t>
      </w:r>
      <w:r w:rsidR="004535F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orzeczeń TK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poprzez nowelizację 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art.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136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ugn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Zmiana polega na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zrówn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aniu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praw osób będących udziałowcami w „roszczeniach” do nieruchomości objętych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 xml:space="preserve">wywłaszczeniem, z prawami osób, które 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występując z wnioskiem o zwrot wywłaszczonej nieruchomości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reprezentują 100% udziałów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„właścicielskich”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Analogiczne 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uprawnienia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wprowadzane są w stosunku do osób, któr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ych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żądanie zwrotu obejmuje nieruchomość</w:t>
      </w:r>
      <w:r w:rsidR="008E572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wobec któr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ej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 zapadła decyzja administracyjna o wywłaszczeniu, a przeniesienie własności na rzecz państwa nastąpiło w oparciu o umowę zawartą w formie aktu notarialnego </w:t>
      </w:r>
      <w:r w:rsidR="004535F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ramach rokowań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</w:t>
      </w:r>
      <w:r w:rsidR="004535F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obecnie </w:t>
      </w:r>
      <w:r w:rsidR="009E220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art. 114 ust. 1 ugn)</w:t>
      </w:r>
      <w:r w:rsidR="004535F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</w:p>
    <w:p w14:paraId="156F9CE9" w14:textId="4C1CFC25" w:rsidR="00C20D58" w:rsidRPr="000D4058" w:rsidRDefault="00C20D58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Zmiany są następstwem zakwestionowania przez TK 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konstytucyjności przepisów z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ugn, które zakładały, że skuteczne złożenie wniosku o zwrot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nieruchomości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wywłaszczonej (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niewykorzystanej zgodnie z przeznaczeniem) wymagało poparcia takiego wniosku przez wszystkie osoby uprawnione (100% udziałów właścicielskich), a także wyłączały możliwość zgłaszania takiego żądania w przypadku nieruchomości, która została nabyta w ramach postępowania wywłaszczeniowego, ale nie w drodze decyzji, a umowy zawartej  w formie aktu notarialnego.</w:t>
      </w:r>
    </w:p>
    <w:p w14:paraId="133476A7" w14:textId="5EF0AA43" w:rsidR="009E2205" w:rsidRPr="000D4058" w:rsidRDefault="004535FB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Ponadto ustawa zakłada wprowadzenie terminu, z 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którego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upływem prawo do zgłoszenia żądania zwrotu wywłaszczonej nieruchomości wygasa – 20 lat od dnia, w którym decyzja o wywłaszczeniu stała się ostateczna (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projektowany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art. 136 ust. 7 ugn). Skutek ten ma dotyczyć wszelkich przypadków wywłaszczenia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ujętych zarówno w art. 136 ugn 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(decyzja wywłaszczeniowa)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jak i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art. 114 ust. 1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(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przeniesienie własności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oparciu o umowę zawartą w formie aktu notarialnego w ramach rokowań</w:t>
      </w:r>
      <w:r w:rsidR="00C20D5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)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</w:p>
    <w:p w14:paraId="02EE192F" w14:textId="5A4DC4EC" w:rsidR="003912BD" w:rsidRPr="000D4058" w:rsidRDefault="003912BD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regulacjach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przejściowych 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(art. 2 i 3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ustawy o zmianie ugn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)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proponuje się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rozwiązania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których faktycznym skutkiem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będzie to</w:t>
      </w:r>
      <w:r w:rsidR="00F22A1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że 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mechanizm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wygaśnięci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prawa do zgłoszenia żądania po okresie 20 lat</w:t>
      </w:r>
      <w:r w:rsidR="007F0EE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od wywłaszczenia zacznie działać dopiero po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3 lat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ach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od wprowadzenia nowelizacji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Ponadto </w:t>
      </w:r>
      <w:r w:rsidR="00D637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okresie tym prawo zgłoszenia 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roszczenia </w:t>
      </w:r>
      <w:r w:rsidR="00D637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będą miały również osoby, który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m</w:t>
      </w:r>
      <w:r w:rsidR="00D637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latach ubiegłych (w oparciu o niekonstytucyjne przepisy) </w:t>
      </w:r>
      <w:r w:rsidR="00D637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odmówiono realizacji żądania zwrotu nieruchomości, 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 nawet te, które w latach ubiegłych, pomimo wystąpienia przez organ administracji z zapytaniem, czy chcą skorzystać z prawa do zwrotu nieruchomości, zaniechały złożenia stosownego wniosku.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 </w:t>
      </w:r>
    </w:p>
    <w:p w14:paraId="50B7C5F8" w14:textId="32B91D8E" w:rsidR="00C20D58" w:rsidRPr="000D4058" w:rsidRDefault="00C20D58" w:rsidP="003912BD">
      <w:pPr>
        <w:ind w:firstLine="708"/>
        <w:jc w:val="both"/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  <w:t xml:space="preserve">Istota problemu </w:t>
      </w:r>
    </w:p>
    <w:p w14:paraId="47C53692" w14:textId="111F0421" w:rsidR="00A3762C" w:rsidRPr="000D4058" w:rsidRDefault="00C20D58" w:rsidP="00C20D58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Zgodnie z obowiązującymi obecnie przepisami, własność nieruchomości nabywanej w drodze wywłaszczenia podlega istotnemu ograniczeniu. Mianowicie, może być wykorzystana wyłącznie na cel wskazany w wywłaszczeniu, przy czym realizacj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tego celu winna nastąpić w określonym terminie (7/10 lat). Brak realizacji celu wywłaszczenia w terminie skutkuje obowiązkiem </w:t>
      </w:r>
      <w:r w:rsidR="00A3762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zwrócenia się przez organ do byłych właścicieli (lub ich następców prawnych) z propozycją zwrotu nieruchomości (za jednoczesnym zwróceniem odszkodowania, względnie otrzymanej </w:t>
      </w:r>
      <w:r w:rsidR="00A3762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>nieruchomości zamienne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j</w:t>
      </w:r>
      <w:r w:rsidR="00A3762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). B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yły</w:t>
      </w:r>
      <w:r w:rsidR="00A3762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właściciel w terminie 3 miesięcy składa stosowne oświadczenie, brak deklaracji skutkuje wygaśnięciem prawa 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żą</w:t>
      </w:r>
      <w:r w:rsidR="00A3762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dania zwrotu. </w:t>
      </w:r>
      <w:r w:rsidR="00B5306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(art.136 ust. 5 ugn).</w:t>
      </w:r>
    </w:p>
    <w:p w14:paraId="615BEBD1" w14:textId="0B7DE99A" w:rsidR="00A3762C" w:rsidRPr="000D4058" w:rsidRDefault="00A3762C" w:rsidP="00C20D58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Przepisy nie regulują jednak kwestii skutków zaniechania przez organ złożenia zapytania w przedmiocie zwrotu nieruchomości. Tymczasem w latach ubiegłych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organy publiczne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wielokrotnie zaniedbywały te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obowiąz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k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W szczególności bardzo często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spotykane były przypadki ignorowania ograniczeń w sposobie zagospodarowywania nieruchomości na cele inne, niż określone w wywłaszczeniu.</w:t>
      </w:r>
    </w:p>
    <w:p w14:paraId="710F806A" w14:textId="02B1E6D2" w:rsidR="00C20D58" w:rsidRPr="000D4058" w:rsidRDefault="00A3762C" w:rsidP="00AB50FC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Co istotne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TK 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(wyrok z 3 kwietnia 2008 r.  sygn. akt K 6/05)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zakwestionował przepis sankcjon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ujący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przypadki zagospodarowywania nieruchomości w sposób, który w świetle ustawy uzasadniał wywłaszczenie, ale był 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inny</w:t>
      </w:r>
      <w:r w:rsidR="009A6DC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niż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cel określony w wywłaszczeniu (art. 229a ugn)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 W konsekwencji orzeczenia TK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przeznaczenie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nieruchomość wywłaszczon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ej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np.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pod szkołę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ale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zagospodarowan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ej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pod szpital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(oba te przedsięwzięcia mogły stanowić przesłankę wywłaszczenia) jest traktowan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jako bezprawn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a co za tym idzie, nieruchomość taka podlega zwrotowi z uwagi na przesłankę zbędności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</w:p>
    <w:p w14:paraId="5C0CE49C" w14:textId="73E7369B" w:rsidR="00164CAA" w:rsidRPr="000D4058" w:rsidRDefault="00AB50FC" w:rsidP="00FE0566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Biorąc pod uwagę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praktykę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mającą miejsce w latach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wcześniejszych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(w szczególności prze</w:t>
      </w:r>
      <w:r w:rsidR="009C66F6">
        <w:rPr>
          <w:rStyle w:val="Teksttreci2115ptKursywa"/>
          <w:rFonts w:eastAsiaTheme="minorHAnsi"/>
          <w:i w:val="0"/>
          <w:color w:val="auto"/>
          <w:sz w:val="27"/>
          <w:szCs w:val="27"/>
        </w:rPr>
        <w:t>d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1989r., 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rzadziej,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ale również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 okresie późniejszym) w zakresie wykorzystywania nieruchomości pochodzących z wywłaszczenia, jak również zmieniające się przepisy (m.in. w pod wpływem orzecznictwa TK), należy stwierdzić, iż skala potencjalnych roszczeń związanych z wykorzystaniem nieruchomości niezgodnie z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celem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wywłaszczeni</w:t>
      </w:r>
      <w:r w:rsidR="002F12F6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jest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olbrzymia. Skądinąd  z dokumentów załączonych do uzasadnieniu wynika, że jej oszacowanie jest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praktycznie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niemożliwe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Co więcej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brak jest jakichkolwiek analiz, co do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skutk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ów społecznych tego zjawiska, podczas gdy istnieją uzasadnione podstawy by przyjąć, że mogą być bardzo poważne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Autorzy 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nowelizacji 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zdają się również lekceważyć skutki ekonomiczne, abstrahując całkowicie od kwestii majątku publicznego zlokalizowanego na nieruchomościach podlegających zwrotowi (w przypadku zwrotu staje się on własnością osób prywatnych) lub prywatnego (spółdzielnie mieszkaniowe,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stowarzyszenia ogrodowe)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który zainwestowano na nieruchomości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</w:t>
      </w:r>
      <w:r w:rsidR="00D2293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godnie z art. 13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8 w zw. z 90 ugn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podmioty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posiadające prawo użytkowania do nieruchomości objętej zwrotem, 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mają prawo domagania się od właściwego organu zwrotu wartości nakładów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poczynionych na tej nieruchomości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zastosowanie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do takich przypadków 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może mieć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także 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art. 26 ustawy o ROD.</w:t>
      </w:r>
    </w:p>
    <w:p w14:paraId="2606BCC2" w14:textId="23A46D1F" w:rsidR="0007666B" w:rsidRPr="000D4058" w:rsidRDefault="00D268FE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Roszczenia mogą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bowiem dotyczyć nieruchomości, na których wybudowano 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obiekt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 charakterze publicznym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np. 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szpitale, czy szkoły,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jak i 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budynków mieszkaniowych (komunalnych i spółdzielczych)</w:t>
      </w:r>
      <w:r w:rsidR="00A252D7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a także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rodzinnych </w:t>
      </w:r>
      <w:r w:rsidR="00AB50F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ogrodów działkowych.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Pewną ochronę zapewni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im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art. 229 ugn, wyłączający możliwość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>zwrotu w przypadku nieruchomości, która</w:t>
      </w:r>
      <w:r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przed dniem wejścia w życie ugn (</w:t>
      </w:r>
      <w:r w:rsidRPr="000D405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 stycznia 1998r.</w:t>
      </w:r>
      <w:r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>) została sprzedana albo ustanowiono na niej prawo użytkowania wieczystego na rzecz osoby trzeciej i prawo to zostało ujawnione w księdze wieczystej.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Jednak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określone w art. 229 ugn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ograniczenia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co do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rodzaju praw, jak i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terminu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ich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ustanowienia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powodują, że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konsekwencje zwrotów nieruchomości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może ponieść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również poważna grupa podmiotów prywatnych, w tym osób fizycznych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 W przypadku zwrotu nieruchomości byłym właścicielom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prawa lokatorów w budynkach, czy też dzierżawców działek w ROD, zostaną niejako automatycznie przekreślone, gdyż nie przysługują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one do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nieruchomości prywatnych. Niewiele lepsza, a na pewno </w:t>
      </w:r>
      <w:r w:rsidR="00FB3B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rodząca bardzo poważne komplikacje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od strony prawnej, będzie sytuacja nieruchomości, które zostaną objęte współwłasnością publiczno – prywatną, </w:t>
      </w:r>
      <w:r w:rsidR="00FB3B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czym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skutk</w:t>
      </w:r>
      <w:r w:rsidR="00FB3B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ować będzie 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zwrot udział</w:t>
      </w:r>
      <w:r w:rsidR="00FB3B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ów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 prawie własności</w:t>
      </w:r>
      <w:r w:rsidR="00FB3B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nieruchomości</w:t>
      </w:r>
      <w:r w:rsidR="000766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Należy jednak podkreślić, że skutkiem zwrotu udziałów w nieruchomości może być zaistnienie np. współwłasności publiczno - prywatnej do budynku szkoły publicznej, czy też szpitala. </w:t>
      </w:r>
    </w:p>
    <w:p w14:paraId="51C46D26" w14:textId="6E1B3FD3" w:rsidR="0007666B" w:rsidRPr="000D4058" w:rsidRDefault="00FB3B69" w:rsidP="009E2205">
      <w:pPr>
        <w:ind w:firstLine="708"/>
        <w:jc w:val="both"/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  <w:t xml:space="preserve">Ocena rozwiązań </w:t>
      </w:r>
      <w:r w:rsidR="0007666B" w:rsidRPr="000D4058"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  <w:t xml:space="preserve">zawartych w </w:t>
      </w:r>
      <w:r w:rsidR="0013438E" w:rsidRPr="000D4058">
        <w:rPr>
          <w:rStyle w:val="Teksttreci2115ptKursywa"/>
          <w:rFonts w:eastAsiaTheme="minorHAnsi"/>
          <w:b/>
          <w:i w:val="0"/>
          <w:color w:val="auto"/>
          <w:sz w:val="27"/>
          <w:szCs w:val="27"/>
        </w:rPr>
        <w:t>ustawie</w:t>
      </w:r>
    </w:p>
    <w:p w14:paraId="2E271DC3" w14:textId="2BF8B50C" w:rsidR="00FB3B69" w:rsidRPr="000D4058" w:rsidRDefault="00FB3B69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regulacjach zawartych w 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ustawie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można wyodrębnić przepisy odnoszące się do dwóch zagadnień.</w:t>
      </w:r>
    </w:p>
    <w:p w14:paraId="5E56628C" w14:textId="142FE5EF" w:rsidR="00FB3B69" w:rsidRPr="000D4058" w:rsidRDefault="00FB3B69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Pierwsze z nich sprowadzają się do korekt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ugn, maj</w:t>
      </w:r>
      <w:r w:rsidR="00B66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ąc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ej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służyć realizacji wytycznych TK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 zakresie zrównania praw osób wywłaszczonych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kontekście zasad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zwrotu nieruchomości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Zmiany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zaproponowane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tym obszarze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 budzą zasadniczych wątpliwości. 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powodują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one,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że prawa wywłaszczonych udziałowców nieruchomości, jak i prawa osób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które zbyły nieruchomość 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 ramach post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ę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powania wywłaszczeniowego w formie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umow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zostaną zrównane – w zakresie żądania zwrotu nieruchomości 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 uwagi na 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zbędnoś</w:t>
      </w:r>
      <w:r w:rsidR="00FE056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ć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dla realizacji celu wywłaszczenia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- z prawami osób wywłaszczonych 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mocą decyzji i reprezentujących 100% udziałów do nieruchomości objętej żądaniem zwrotu.</w:t>
      </w:r>
    </w:p>
    <w:p w14:paraId="20842C84" w14:textId="44D939E0" w:rsidR="00714F7F" w:rsidRPr="000D4058" w:rsidRDefault="002A4F12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Druga grupa przepisów ujęta w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ustawie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odnosi się do kwestii czasu, w jakim żądanie „zwrotowe” może być zgłoszone, i budzi zdecydowanie więcej wątpliwości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</w:p>
    <w:p w14:paraId="10AD8DF6" w14:textId="21CAEC1C" w:rsidR="00131D0E" w:rsidRPr="000D4058" w:rsidRDefault="00FE0566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Jakkolwiek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bowiem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propozycj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ę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wprowadzenia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20-letni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ego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okresu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 zgłoszenie żądania zwrotu nieruchomości,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 którym prawo </w:t>
      </w:r>
      <w:r w:rsidR="0070788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to wygaśnie (swoiste „przedawnienie”),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należy uznać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co do zasady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słuszn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ą</w:t>
      </w:r>
      <w:r w:rsidR="00714F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to sposób realizacji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tej koncepcji </w:t>
      </w:r>
      <w:r w:rsidR="002A4F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rodzi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zastrzeżenia</w:t>
      </w:r>
      <w:r w:rsidR="00131D0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kontekście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zawartego w wyroku 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TK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postulatu 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wprowadzeni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rozwiązań służących zwiększeniu pewności prawa i stabilizacji stosunków własnościowych, jak i 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realizacji zasady 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zapewnienia równej ochrony i poszanowania praw wszystkich podmiotów, 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wątpliwości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budzą 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zwłaszcza 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rozwiązania o charakterze przejściowym</w:t>
      </w:r>
      <w:r w:rsidR="009477F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zawarte w art. 2 i 3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ustawy o zmianie ugn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</w:p>
    <w:p w14:paraId="05D1D379" w14:textId="00D0BF19" w:rsidR="00DD5B32" w:rsidRPr="000D4058" w:rsidRDefault="002D7519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Ustalone 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</w:t>
      </w:r>
      <w:r w:rsidR="00131D0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art. 2 i 3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mechanizmy </w:t>
      </w:r>
      <w:r w:rsidR="007B19E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należy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bowiem </w:t>
      </w:r>
      <w:r w:rsidR="007B19E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uznać za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rodzące ryzyko </w:t>
      </w:r>
      <w:r w:rsidR="00D7276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zagr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ożenia</w:t>
      </w:r>
      <w:r w:rsidR="007B19E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stabilności stosunków własnościowych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 Co więcej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można im postawić </w:t>
      </w:r>
      <w:r w:rsidR="006B361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 xml:space="preserve">zarzut 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nie</w:t>
      </w:r>
      <w:r w:rsidR="007B19E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uzasadnion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ego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faworyz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owania 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b</w:t>
      </w:r>
      <w:r w:rsidR="00131D0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yłych 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właścicieli kosztem innych podmiotów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względnie stat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uowania 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na ich rzecz przywilej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</w:t>
      </w:r>
      <w:r w:rsidR="00DD5B3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których ustawodawca odmawia innym osobom znajdującym się w analogicznej sytuacji. </w:t>
      </w:r>
    </w:p>
    <w:p w14:paraId="425003C1" w14:textId="2D31F5C2" w:rsidR="0044455A" w:rsidRPr="000D4058" w:rsidRDefault="00131D0E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prowadzając 20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-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letni okres „przedawnienia” prawa żądania zwrotu nieruchomości, proponuje się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bowiem </w:t>
      </w:r>
      <w:r w:rsidR="009E6ACC" w:rsidRPr="000D4058">
        <w:rPr>
          <w:rStyle w:val="Teksttreci2115ptKursywa"/>
          <w:rFonts w:eastAsiaTheme="minorHAnsi"/>
          <w:color w:val="auto"/>
          <w:sz w:val="27"/>
          <w:szCs w:val="27"/>
        </w:rPr>
        <w:t>de facto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wyłączenie jego stosowania do stanów zaistniałych przed wejściem w życie ustawy. 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art. 2 i 3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wprowadz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ono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zasadę, że niezależnie od </w:t>
      </w:r>
      <w:r w:rsidR="002D751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daty wywłaszczenia,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żądanie zwrotu nieruchomości będzie mogło być zgłoszone prze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okres 3 lat od wejścia w życie nowelizacji. W konsekwencji, żądaniem będą mogły być objęte nieruchomości, które winny być przedstawione do zwrotu 50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czy 60 lat temu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 zrozumiałe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 większości przypadków</w:t>
      </w:r>
      <w:r w:rsidR="00A14CB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1343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tereny te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zostały już 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sposób trwały zagospodarowane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(niezgodnie z celem wywłaszczenia)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a </w:t>
      </w:r>
      <w:r w:rsidR="00A14CB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nierzadko 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poczynione nakłady mogą mieć wielokrotnie większą wartość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9E6A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niż sam grunt.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Przez dziesięciolecia zmianie uległo 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zapewne także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zagospodarowanie 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otoczenia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nieruchomości, </w:t>
      </w:r>
      <w:r w:rsidR="00A14CB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zwykle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nastąpiła ich urbanizacja. </w:t>
      </w:r>
    </w:p>
    <w:p w14:paraId="277902FC" w14:textId="50411881" w:rsidR="0044455A" w:rsidRPr="000D4058" w:rsidRDefault="00131D0E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konsekwencji wielokrotnie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zaistnieje sytuacja, że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nieruchomości, które w momencie </w:t>
      </w:r>
      <w:r w:rsidR="00C84B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zaktualizowania 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się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prawa </w:t>
      </w:r>
      <w:r w:rsidR="00C84B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żądania zwrotu (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np.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50 lat temu)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 były przedmiotem zainteresowania b. właścicieli, obecnie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będą </w:t>
      </w:r>
      <w:r w:rsidR="009A1B4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przez nich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oceniane zupełnie inaczej. „Przetrzymanie” terenu przez państwo spowodował</w:t>
      </w:r>
      <w:r w:rsidR="001F024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że </w:t>
      </w:r>
      <w:r w:rsidR="00A14CB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jego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wartość wielokrotnie wzrosła</w:t>
      </w:r>
      <w:r w:rsidR="00C84B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W 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efekcie </w:t>
      </w:r>
      <w:r w:rsidR="00C84B6B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obecnie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osoby uprawnione będą zainteresowane odzyskaniem 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dawnej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własności, choć w momencie (teoretycznego) zaistnienia przesłanki do zwrotu, najprawdopodobniej miały do tego rozwiązania zupełnie inny stosunek. </w:t>
      </w:r>
    </w:p>
    <w:p w14:paraId="2DCD85EC" w14:textId="71E3258A" w:rsidR="0044455A" w:rsidRPr="000D4058" w:rsidRDefault="009A1B4D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Kilkadziesiąt lat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jak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ie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upłynęły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od momentu zaistnienia okoliczności stanowiących podstawę dla przyjęcia zbędności nieruchomości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dla realizacji celu wywłaszczenia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praktycznie uniemożliwia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również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ustalenie, czy 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faktycznie </w:t>
      </w:r>
      <w:r w:rsidR="007C34B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konkretnej sprawie nie </w:t>
      </w:r>
      <w:r w:rsidR="00004217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skierowano zapytania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do </w:t>
      </w:r>
      <w:r w:rsidR="00004217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byłych właścicieli w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przedmiocie </w:t>
      </w:r>
      <w:r w:rsidR="00004217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zwrotu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nieruchomości</w:t>
      </w:r>
      <w:r w:rsidR="00004217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praktyce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zatem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proponowane rozwiązanie wprowadza swoiste domniemanie zaniechania złożenia propozycji zwrotu nieruchomości,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a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 żaden sposób nie obciąża b. właściciela konsekwencjami wieloletniej zwłoki w zgłoszeniu stosownego żądania. Tymczasem</w:t>
      </w:r>
      <w:r w:rsidR="001F024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można przyjąć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</w:t>
      </w:r>
      <w:r w:rsidR="001F024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że </w:t>
      </w:r>
      <w:r w:rsidR="0044455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przynajmniej od 1989r. nic nie stało na przeszkodzie, aby wnioski takie były kierowane</w:t>
      </w:r>
      <w:r w:rsidR="00702F1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zaś co najmniej od 1997r. (wejście w życie nowej Konstytucji) posiadali oni instrumenty, które umożliwiały im skuteczn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702F1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dochodz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enie</w:t>
      </w:r>
      <w:r w:rsidR="00702F1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swych praw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włącznie z mo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ż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liwością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skarżenia przepis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ów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do TK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</w:p>
    <w:p w14:paraId="1510E91B" w14:textId="248C402F" w:rsidR="004F1E36" w:rsidRPr="000D4058" w:rsidRDefault="00702F1A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Oceniając regulacje art. 2 i 3 </w:t>
      </w:r>
      <w:r w:rsidR="0011291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nowelizacji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ie sposób również </w:t>
      </w:r>
      <w:r w:rsidR="00A14CB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całkowicie ignorować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doświadcze</w:t>
      </w:r>
      <w:r w:rsidR="002001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nia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płynąc</w:t>
      </w:r>
      <w:r w:rsidR="002001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2F12F6">
        <w:rPr>
          <w:rStyle w:val="Teksttreci2115ptKursywa"/>
          <w:rFonts w:eastAsiaTheme="minorHAnsi"/>
          <w:i w:val="0"/>
          <w:color w:val="auto"/>
          <w:sz w:val="27"/>
          <w:szCs w:val="27"/>
        </w:rPr>
        <w:t>go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 blisko 30 lat reprywatyzacji.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Pomijając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skalę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ujawnionych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nadużyć, warto również wskazać na faktycznych beneficjentów tego procesu – podmioty i osoby, które specjalizują się w wyszukiwaniu „roszczeniowych” terenów, i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przejmowaniu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od b. właścicieli prawa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(za ułamek ich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 xml:space="preserve">wartości )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 zamian za przeprowadzeni</w:t>
      </w:r>
      <w:r w:rsidR="002F12F6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procedury „odzyskania” terenów.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Tworzenie </w:t>
      </w:r>
      <w:r w:rsidR="005734E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swoistego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„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uprzywilejowani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a” w zakresie dowodowym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dla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osób zgłaszających roszczenia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powodowało, że w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relacjach z tym</w:t>
      </w:r>
      <w:r w:rsidR="00862B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podmiotami, organy administracji, a nawet sądy, sta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ły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niejako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na przegranej pozycji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fek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tem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liczne przypadki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decyzj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reprywatyzacyjn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ych, co do których w późniejszym okresie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ujawniano okoliczności uzasadniające wniosek, że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przesłanki 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„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zwrotowe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”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jednak nie istniały, względnie adresatami 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tych decyzji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winny być inne osoby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 Regułą w takich przypadkach było również to, że dalszy obrót „odzyskanymi” gruntami czynił praktycznie niemożliwym uchylenie skutków bezprawnej reprywatyzacji.</w:t>
      </w:r>
    </w:p>
    <w:p w14:paraId="3DDFD25D" w14:textId="0FC47D3A" w:rsidR="0076408E" w:rsidRPr="000D4058" w:rsidRDefault="00C84B6B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Stąd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też, zasadnym wydaje się wniosek, iż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proponując rozwiązania w tym zakresie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BB2A2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ustawodawca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winien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rozważyć zróżnicowanie mechanizmów, w szczególności 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stosując 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kryterium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czasu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jaki upłynął od momentu wywłaszczenia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Obecne propozycje 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należy uznać za 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wyjątkowo korzystne dla osób uprawnionych, a całkowicie pomijają</w:t>
      </w:r>
      <w:r w:rsidR="00AE09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ce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interesy pozostałych uczestników procesu. Warto również zauważyć, iż całkowicie pomi</w:t>
      </w:r>
      <w:r w:rsidR="00AE4AB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ną</w:t>
      </w:r>
      <w:r w:rsidR="002001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ł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kwest</w:t>
      </w:r>
      <w:r w:rsidR="0020018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</w:t>
      </w:r>
      <w:r w:rsidR="004F1E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ę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rozważenia problemu pod kątem stosowania, przynajmniej w drodze analogii, konstrukcji zasiedzenia własności nieruchomości. </w:t>
      </w:r>
    </w:p>
    <w:p w14:paraId="558B07F2" w14:textId="60D32F71" w:rsidR="00AA007F" w:rsidRPr="000D4058" w:rsidRDefault="00AE4AB0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rt. 2 i 3 ustawy dotyczyć ma stanów faktycznych, w których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 stronie 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administracji publicznej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zaistniała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zwłok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przedstawieniu do 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zwrotu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nieruchomości osobie uprawnionej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 zamian za zwrot świadczenia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)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 Zatem w przypadkach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gdy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zwłoka ta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istnieje ponad 30 lat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okres, który uprawnia do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zasiedzenia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własności nieruchomości w złej wierze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- art. 172 kc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)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należy rozważyć, czy nie 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będzie dopuszczalnym przyjęcie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rozwiązań analogicznych do zasiedzenia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Jeżeli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bowiem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 kwestionuje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się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zgodności z Konstytucją </w:t>
      </w:r>
      <w:r w:rsidR="0076408E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zasiedzenia na rzecz Państwa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„klasycznym” posiadaniu w złej wierze,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(a co za tym idzie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odjęcia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własności prywatnej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),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to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zasadnym staje się pytani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czy </w:t>
      </w:r>
      <w:r w:rsidR="00B25893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wdrożenie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analogicznych rozwiązań do wygaszenia prawa żądania zwrotu nieruchomości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nie byłoby właściwe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?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właszcza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biorąc pod uwagę wyjątkow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okoliczności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w jakich następuje sięgnięcie po tak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ą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konstrukcję -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tj.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istotn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ą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zmian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ę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stosunków społeczno-gospodarczych, a nawet 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porządku </w:t>
      </w:r>
      <w:r w:rsidR="004B57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konstytucyjn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ego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Nie należy również pomijać, że TK 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podkreśl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ił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szerok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ą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swobod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ę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ustawodawcy w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zakresie 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regulacji zwrotów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wywłaszczonych 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nieruchomości oraz koniecznoś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ć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uwzględniania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przez ustawodawcę 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przesłanki </w:t>
      </w:r>
      <w:r w:rsidR="00AA007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pewności prawa i stabilizacji stosunków własnościowych. </w:t>
      </w:r>
    </w:p>
    <w:p w14:paraId="5ED99DD3" w14:textId="5DEA2C30" w:rsidR="00AE4AB0" w:rsidRPr="000D4058" w:rsidRDefault="006C0482" w:rsidP="009E2205">
      <w:pPr>
        <w:ind w:firstLine="708"/>
        <w:jc w:val="both"/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Powyższe uwagi wydają się być tym bardziej uzasadnione, jeżeli zważyć </w:t>
      </w:r>
      <w:r w:rsidR="00C060C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 orzecznictwo w sprawach dotyczących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zasiedzenia własności nieruchomości przez Skarb Państwa</w:t>
      </w:r>
      <w:r w:rsidR="007D0B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w </w:t>
      </w:r>
      <w:r w:rsidR="008D01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sytuacji wejścia w posiadanie (własność) nieruchomości w oparciu o decyzję administracyjną, co do której </w:t>
      </w:r>
      <w:r w:rsidR="00B25893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następnie </w:t>
      </w:r>
      <w:r w:rsidR="008D016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orzeczono nieważnoś</w:t>
      </w:r>
      <w:r w:rsidR="00B25893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ć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B74BA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</w:t>
      </w:r>
      <w:r w:rsidR="00C060C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wyrokach </w:t>
      </w:r>
      <w:r w:rsidR="00B74BA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Sądu </w:t>
      </w:r>
      <w:r w:rsidR="00B74BAF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Najwyższego występują liczne wypowiedzi kwalifikujące posiadanie przez Skarb Państwa nieruchomości nabytej na podstawie decyzji administracyjnej, uznanej w późniejszym czasie za nieważną, jako posiadanie </w:t>
      </w:r>
      <w:r w:rsidR="00B74BAF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lastRenderedPageBreak/>
        <w:t>samoistne w dobrej wierze (zob. orzeczenie z dnia 28 listopada 2014 r., I CSK 658/14 - postanowienie z dnia 16 maja 2013 r., IV CSK 686/12, nie publ.)</w:t>
      </w:r>
      <w:r w:rsidR="00C308AD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. </w:t>
      </w:r>
    </w:p>
    <w:p w14:paraId="498E2B5C" w14:textId="18769E57" w:rsidR="007D0BE8" w:rsidRPr="000D4058" w:rsidRDefault="00C060C8" w:rsidP="009E2205">
      <w:pPr>
        <w:ind w:firstLine="708"/>
        <w:jc w:val="both"/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</w:pP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Biorąc pod uwagę 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stopień pogwałcenie prawa własności zaistniały w sytuacji wydania decyzji, co do której można formułować zarzut naruszenia prawa skutkujący jej nieważnością, 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i 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stopień tego 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naruszenia zaistniał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y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poprzez 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brak skierowania zapytania w kwestii zwrotu nieruchomości (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ze względu na jej 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zbędność dla realizacji celu wywłaszczenia), uzasadnionym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wydaje się być 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wniosek, iż w pierwszym przypadku</w:t>
      </w:r>
      <w:r w:rsidR="007D75C4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,</w:t>
      </w:r>
      <w:r w:rsidR="007D0B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  <w:r w:rsidR="00FA6D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ingerencja 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 prawa właściciela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m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iała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  <w:r w:rsidR="00FA6D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kwalifikowany charakter. Zatem,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za prawidłową należy przyjąć </w:t>
      </w:r>
      <w:r w:rsidR="00FA6D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konstatacj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ę</w:t>
      </w:r>
      <w:r w:rsidR="00FA6D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, iż 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wprowadzenie </w:t>
      </w:r>
      <w:r w:rsidR="00FA6D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analogicznych mechanizmów wobec tych dwóch stanów faktycznych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winno być 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jak najbardziej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dopuszczalne.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</w:p>
    <w:p w14:paraId="6855A58A" w14:textId="042F600A" w:rsidR="001446ED" w:rsidRPr="000D4058" w:rsidRDefault="00C308AD" w:rsidP="009E2205">
      <w:pPr>
        <w:ind w:firstLine="708"/>
        <w:jc w:val="both"/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</w:pP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 tej sytuacji za zasadne należy 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też </w:t>
      </w:r>
      <w:r w:rsidR="00362A85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uznać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pytanie, czy w kontekście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konieczności dążenia przez ustawodawcę do zapewnienia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stabilizacji stosunków prawnych,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rozwiązania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proponowane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w art. 2 i 3 nowelizacji ugn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,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w zakresie, w jakim dotyczą przypadków „zadawnionych” zaniechań,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nie stanowią </w:t>
      </w:r>
      <w:r w:rsidRPr="000D4058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  <w:lang w:eastAsia="pl-PL" w:bidi="pl-PL"/>
        </w:rPr>
        <w:t>de facto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kroku wstecz</w:t>
      </w:r>
      <w:r w:rsidR="00F263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?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Po pierwsze, 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przewidując wprost prawo do skutecznego żądania zwrotu nieruchomości po ponad 30 latach, przepisy te niejako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wyklucz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ają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możliwość zastosowania konstrukcji zasiedzenia do regulowania stanu prawnego takich nieruchomości</w:t>
      </w:r>
      <w:r w:rsidR="00F263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(jako przepis szczególny wobec 172 kc)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. P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o drugie zaniechanie przez ustawodawcę wygaszenia prawa 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do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zgłoszenia żądania 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zwrotu nieruchomości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w przypadku przeszło 30 letniej zwłoki</w:t>
      </w:r>
      <w:r w:rsidR="00AE4AB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w jego dochodzeniu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, 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w sytuacji gdy w analogicznym stanie, bezprawne posiadanie przez Państwo skutkuje odjęciem własności, wydaje się być całkowicie nieracjonalne.</w:t>
      </w:r>
    </w:p>
    <w:p w14:paraId="17291C97" w14:textId="4127972D" w:rsidR="00AC6F36" w:rsidRPr="000D4058" w:rsidRDefault="001446ED" w:rsidP="00A16B09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Uwag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i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t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e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są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aktualn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e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z</w:t>
      </w:r>
      <w:r w:rsidR="00362A85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właszcza </w:t>
      </w:r>
      <w:r w:rsidR="00C308AD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w stosunku do terenów skomunalizowanych, </w:t>
      </w:r>
      <w:r w:rsidR="00362A85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gdzie jednostka samorządu terytorialnego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nabyła własność, jako następca prawny Skarbu Państwa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. W takich przypadkach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  <w:r w:rsidR="00B25893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uzasadniony jest wniosek, że </w:t>
      </w:r>
      <w:r w:rsidR="007D75C4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od 1990r., władając nieruchomością jako właściciel 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gmina</w:t>
      </w:r>
      <w:r w:rsidR="007D75C4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</w:t>
      </w:r>
      <w:r w:rsidR="00362A85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czyni</w:t>
      </w:r>
      <w:r w:rsidR="007D75C4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ła</w:t>
      </w:r>
      <w:r w:rsidR="00362A85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to w dobrej wierze. </w:t>
      </w:r>
      <w:r w:rsidR="008C7AA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Za regułę należ</w:t>
      </w:r>
      <w:r w:rsidR="00C060C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ałoby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bowiem</w:t>
      </w:r>
      <w:r w:rsidR="00F263E8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przyjąć</w:t>
      </w:r>
      <w:r w:rsidR="008C7AA0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, że 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obejmując nieruchomość, gminy nie m</w:t>
      </w:r>
      <w:r w:rsidR="007D75C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iały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świadomości ich 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„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wady prawnej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”, związanej z trybem nabycia przez SP – zaniechaniem w zakresie zapytania b. właściciela o zwrot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roces komunalizacji 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abstrahował od 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trybu nabycia nieruchomości przez SP, a co za tym idzie, 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kwestia realizacji 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obowiązk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ów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wobec b. właścicieli 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nie był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nim 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badan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="008C7AA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</w:p>
    <w:p w14:paraId="06491AB6" w14:textId="3C09ABBB" w:rsidR="00A16B09" w:rsidRPr="000D4058" w:rsidRDefault="00AC6F36" w:rsidP="00A16B09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Tymczasem 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utrzymanie propozycji zawartych w projekcie spowoduje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>nierzadko</w:t>
      </w:r>
      <w:r w:rsidR="00A16B09"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 możliwość zaistnienia 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sytuacji, że gmina, która w dobrej wierze przeprowadziła na nieruchomości inwestycję, np. wybudowała szkołę, zostanie zobowiązana do jej zwrotu, co w sposób oczywisty będzie równoznaczne z poniesieniem przez nią szkody. </w:t>
      </w:r>
    </w:p>
    <w:p w14:paraId="68367842" w14:textId="77777777" w:rsidR="00873BEF" w:rsidRPr="000D4058" w:rsidRDefault="00A16B09" w:rsidP="00A16B09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Analogiczne sytuacje mogą stać się udziałem podmiotów prywatnych, takich jak spółdzielnie mieszkaniowe, czy też stowarzyszenia ogrodowe i działkowcy.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>Podmioty te były uprawnione do trwałego zagospodarowywania nieruchomości należących do państwa (</w:t>
      </w:r>
      <w:r w:rsidR="00873BE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m.in.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 ustawową gwarancją odrębnej własności obiektów wznoszonych na gruncie) w oparciu o tytuł prawny, inny niż użytkowanie wieczyste.</w:t>
      </w:r>
      <w:r w:rsidR="00EC79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</w:p>
    <w:p w14:paraId="6F886A03" w14:textId="4A9C35BA" w:rsidR="00A16B09" w:rsidRPr="000D4058" w:rsidRDefault="00EC79CC" w:rsidP="00A16B09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 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świetle wyjątkowo wąskiego wyłączenia w zakresie zwrotów w ugn (art. 229 dotyczy wyłącznie terenów oddanych w użytkowanie wieczyste), nieruchomości te miał</w:t>
      </w:r>
      <w:r w:rsidR="00CA253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by podlegać reprywatyzacji. W konsekwencji, zgodnie z zasadą s</w:t>
      </w:r>
      <w:r w:rsidR="00A16B09" w:rsidRPr="000D4058">
        <w:rPr>
          <w:rStyle w:val="Teksttreci2115ptKursywa"/>
          <w:rFonts w:eastAsiaTheme="minorHAnsi"/>
          <w:color w:val="auto"/>
          <w:sz w:val="27"/>
          <w:szCs w:val="27"/>
        </w:rPr>
        <w:t>uperficies solo cedit,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majątek prywatny, który zainwestowano w zagospodarowanie nieruchomości, podlegałby </w:t>
      </w:r>
      <w:r w:rsidR="00AC6F36" w:rsidRPr="000D4058">
        <w:rPr>
          <w:rStyle w:val="Teksttreci2115ptKursywa"/>
          <w:rFonts w:eastAsiaTheme="minorHAnsi"/>
          <w:color w:val="auto"/>
          <w:sz w:val="27"/>
          <w:szCs w:val="27"/>
        </w:rPr>
        <w:t>de facto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wywłaszczeniu na rzecz b. właścicieli, a zatem osób prywatnych. 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R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ozwiązanie takie należy uznać za sprzeczne z art. 21 ust. 2 Konstytucji, który dopuszcza wywłaszczenie wyłącznie na cel publiczny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i nigdy na rzecz podmiotu prywatnego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Warto podkreślić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</w:t>
      </w:r>
      <w:r w:rsidR="00BB2A22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że </w:t>
      </w:r>
      <w:r w:rsidR="00A16B0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zmiana ta nie dotykałaby wyłącznie osób prawnych, tj. gmin, spółdzielni, czy też stowarzyszeń ogrodowych, ale również działkowców, wobec których od 1981r. znajduje zastosowanie ustawowa konstrukcja odrębnej własność naniesień i nasadzeń zlokalizowanych na działce w ROD (POD).  </w:t>
      </w:r>
      <w:r w:rsidR="00F263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Analogiczny skutek dotykałby również lokatorów z budynków spółdzielczych i komunalnych, prywatyzowanych w efekcie zwrotu własności gruntu. </w:t>
      </w:r>
    </w:p>
    <w:p w14:paraId="537DAC3E" w14:textId="6BE0EBA3" w:rsidR="00A06FDA" w:rsidRPr="000D4058" w:rsidRDefault="00EC79CC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Analizując rozwiązania zawarte w przepisach przejściowych nowelizacji, należy również zwrócić uwagę, że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wprowadza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ją </w:t>
      </w:r>
      <w:r w:rsidR="00AC6F3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one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przywrócenie terminów os</w:t>
      </w:r>
      <w:r w:rsidR="00A06FD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obom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</w:t>
      </w:r>
      <w:r w:rsidR="00A06FD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wobec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któr</w:t>
      </w:r>
      <w:r w:rsidR="00A06FD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ych - w świetle obowiązujących przepisów – nastąpił upływ termin</w:t>
      </w:r>
      <w:r w:rsidR="006E045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</w:t>
      </w:r>
      <w:r w:rsidR="00A06FD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na zgłoszenie żądania zwrotu nieruchomości.</w:t>
      </w:r>
      <w:r w:rsidR="008C1EB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Wniosek taki znajduje uzasadnienie w treści art. 3 ust. 1 </w:t>
      </w:r>
      <w:r w:rsidR="00A06FD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8C1EB1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i 2 nowelizacji. </w:t>
      </w:r>
    </w:p>
    <w:p w14:paraId="11DB900E" w14:textId="77777777" w:rsidR="006E045D" w:rsidRPr="000D4058" w:rsidRDefault="00A06FDA" w:rsidP="00577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Pierwszą grupę stanowić </w:t>
      </w:r>
      <w:r w:rsidR="008C1EB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będą osoby objęte działaniem norm zawartych w </w:t>
      </w:r>
      <w:bookmarkStart w:id="5" w:name="_Hlk2256354"/>
      <w:r w:rsidR="008C1EB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art. 3 ust. 1 pkt 1 i ust. 2 pkt 1 nowelizacji. </w:t>
      </w:r>
    </w:p>
    <w:bookmarkEnd w:id="5"/>
    <w:p w14:paraId="47B1F408" w14:textId="22406AC0" w:rsidR="006E045D" w:rsidRPr="000D4058" w:rsidRDefault="00923510" w:rsidP="006E0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Mianowicie z</w:t>
      </w:r>
      <w:r w:rsidR="006E045D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godnie z dotychczasowym art. 136 ust. 5 ugn</w:t>
      </w: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jeżeli b. właściciel po otrzymaniu informacji o prawie zgłoszenia żądania o zwrot nieruchomości, </w:t>
      </w:r>
      <w:r w:rsidR="006E045D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zaniecha</w:t>
      </w: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ł</w:t>
      </w:r>
      <w:r w:rsidR="006E045D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jego zgłoszenia w </w:t>
      </w:r>
      <w:r w:rsidR="006E045D"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terminie 3 miesięcy, uprawnienie do zwrotu nieruchomości wygasło. </w:t>
      </w:r>
    </w:p>
    <w:p w14:paraId="3F1C44AD" w14:textId="32389253" w:rsidR="006E045D" w:rsidRPr="000D4058" w:rsidRDefault="006E045D" w:rsidP="00BB2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Nowelizacja </w:t>
      </w:r>
      <w:r w:rsidR="00923510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ma przekreślić ten skutek. U</w:t>
      </w:r>
      <w:r w:rsidR="008C1EB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stanawia </w:t>
      </w:r>
      <w:r w:rsidR="00923510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bowiem </w:t>
      </w:r>
      <w:r w:rsidR="008C1EB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nowy</w:t>
      </w:r>
      <w:r w:rsidR="00AC6F36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(dodatkowy)</w:t>
      </w:r>
      <w:r w:rsidR="008C1EB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3 letni termin na zgłoszenie żądania os</w:t>
      </w:r>
      <w:r w:rsidR="00AC6F36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obom</w:t>
      </w:r>
      <w:r w:rsidR="00923510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8C1EB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których w latach poprzednich zostało skierowane zawiadomienie o prawie do zwrotu nieruchomości, a które nie zgłosiły takiego żądania</w:t>
      </w:r>
      <w:r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="00577E11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23510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Możliw</w:t>
      </w:r>
      <w:r w:rsidR="00AF6999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ą  będzie </w:t>
      </w:r>
      <w:r w:rsidR="00620875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AF6999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sytuacja</w:t>
      </w:r>
      <w:r w:rsidR="00620875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że </w:t>
      </w:r>
      <w:r w:rsidR="00923510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żądani</w:t>
      </w:r>
      <w:r w:rsidR="00AF6999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="00923510" w:rsidRPr="000D405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zwrotu obejmie zatem nieruchomości, których odzyskaniem byli właściciele nie byli zainteresowani, np. nawet jeżeli przed laty zignorowali zapytanie, co do zwrotu. </w:t>
      </w:r>
    </w:p>
    <w:p w14:paraId="27DEB4AB" w14:textId="6E7BA6A7" w:rsidR="00A06FDA" w:rsidRPr="000D4058" w:rsidRDefault="00577E11" w:rsidP="00577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Należy zaznaczyć, </w:t>
      </w:r>
      <w:r w:rsidR="006E045D"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>że ta wyjątkowo korzystna dla b. właścicieli propozycja  modyfikacji (</w:t>
      </w:r>
      <w:r w:rsidR="006E045D" w:rsidRPr="000D4058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de facto</w:t>
      </w:r>
      <w:r w:rsidR="006E045D"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wyłączenia) stosowania mechanizmu z art. 136 ust. 5, została zgłoszona pomimo, że </w:t>
      </w:r>
      <w:r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TK nie zakwestionował </w:t>
      </w:r>
      <w:r w:rsidR="00923510" w:rsidRPr="000D4058">
        <w:rPr>
          <w:rFonts w:ascii="Times New Roman" w:hAnsi="Times New Roman" w:cs="Times New Roman"/>
          <w:sz w:val="27"/>
          <w:szCs w:val="27"/>
          <w:shd w:val="clear" w:color="auto" w:fill="FFFFFF"/>
        </w:rPr>
        <w:t>tego przepisu.</w:t>
      </w:r>
    </w:p>
    <w:p w14:paraId="1D314703" w14:textId="77777777" w:rsidR="00577E11" w:rsidRPr="000D4058" w:rsidRDefault="00577E11" w:rsidP="00577E11">
      <w:pPr>
        <w:spacing w:after="0" w:line="240" w:lineRule="auto"/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</w:p>
    <w:p w14:paraId="0DB0FCC4" w14:textId="2A25DF9F" w:rsidR="00492C14" w:rsidRPr="000D4058" w:rsidRDefault="00577E11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Kolejną grupę odzyskujących termin na zgłoszenie roszczenia zwrotowego stanowić będą osoby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objęte dobrodziejstwem z </w:t>
      </w:r>
      <w:bookmarkStart w:id="6" w:name="_Hlk2256135"/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art. 3 ust. 1 pkt 2 i ust. 2 pkt 2 nowelizacji. </w:t>
      </w:r>
      <w:bookmarkEnd w:id="6"/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ą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to osoby, które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utraciły prawo do występowania z żądaniem zwrotu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lastRenderedPageBreak/>
        <w:t>wywłaszczonych nieruchomości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 uwagi na art. 145a KPA – przepis określający standardowe skutki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jakie wyrok TK wywołuje wobec zakończonych spraw rozstrzyganych w post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ę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powaniu administracyjnym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Co istotne przepis ten należy odczytywać w połączeniu z art. 190 ust. 4 Konstytucji RP, nakazującym regulować kwestię </w:t>
      </w:r>
      <w:r w:rsidR="001D47B1" w:rsidRP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>zasad i tryb</w:t>
      </w:r>
      <w:r w:rsid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>u</w:t>
      </w:r>
      <w:r w:rsidR="001D47B1" w:rsidRP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wznowienia postępowania w związku z wyrokiem TK </w:t>
      </w:r>
      <w:r w:rsidR="001D47B1" w:rsidRP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>w przepisach właściwych dla danego postępowania</w:t>
      </w:r>
      <w:r w:rsidR="001D47B1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Warto to podkreślić, gdyż w przypadku problematyki uregulowanej w ustawie o gospodarce nieruchomościami (ugn), są to przepisy Kodeksu Postępowania Administracyjnego, a nie samej ugn. </w:t>
      </w:r>
    </w:p>
    <w:p w14:paraId="509067B5" w14:textId="2732DE1C" w:rsidR="00492C14" w:rsidRPr="00116A34" w:rsidRDefault="001D47B1" w:rsidP="00492C14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Tymczasem </w:t>
      </w:r>
      <w:r w:rsidR="00492C1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zgodnie z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art. 145a </w:t>
      </w:r>
      <w:r w:rsidR="00873BE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KPA</w:t>
      </w:r>
      <w:r w:rsidR="0059719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492C14" w:rsidRPr="000D4058">
        <w:rPr>
          <w:sz w:val="27"/>
          <w:szCs w:val="27"/>
        </w:rPr>
        <w:t xml:space="preserve"> </w:t>
      </w:r>
      <w:r w:rsidR="00116A34">
        <w:rPr>
          <w:sz w:val="27"/>
          <w:szCs w:val="27"/>
        </w:rPr>
        <w:t>s</w:t>
      </w:r>
      <w:r w:rsidR="00492C14" w:rsidRPr="00116A34">
        <w:rPr>
          <w:rStyle w:val="Teksttreci2115ptKursywa"/>
          <w:rFonts w:eastAsiaTheme="minorHAnsi"/>
          <w:i w:val="0"/>
          <w:color w:val="auto"/>
          <w:sz w:val="27"/>
          <w:szCs w:val="27"/>
        </w:rPr>
        <w:t>kargę o wznowienie wnosi się w terminie jednego miesiąca od dnia wejścia w życie orzeczenia Trybunału Konstytucyjnego.</w:t>
      </w:r>
      <w:r w:rsidR="00873BEF" w:rsidRPr="00116A34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</w:p>
    <w:p w14:paraId="04BCE717" w14:textId="1404E62A" w:rsidR="00F263E8" w:rsidRPr="000D4058" w:rsidRDefault="00577E11" w:rsidP="00492C14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Zatem o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soby, co do których w latach ubiegłych wydano decyzję o odmowie zwrotu nieruchomości w oparciu o </w:t>
      </w:r>
      <w:r w:rsidR="00492C1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niekonstytucyjny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art. 136 ust. 3 ugn</w:t>
      </w:r>
      <w:r w:rsidR="0059719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(jako częściowym udziałowcom roszczenia)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, były uprawnione </w:t>
      </w:r>
      <w:r w:rsidR="00873BE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do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złoż</w:t>
      </w:r>
      <w:r w:rsidR="00873BE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enia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B047F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skargi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 wznowienie postępowania w terminie 1 miesiąca od </w:t>
      </w:r>
      <w:r w:rsidR="00D0588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wejścia w życie wyroku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TK</w:t>
      </w:r>
      <w:r w:rsidR="00EC79C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D0588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 </w:t>
      </w:r>
      <w:r w:rsidR="0059719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dnia</w:t>
      </w:r>
      <w:r w:rsidR="00D0588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14 lipca 2015r. sygn. akt 26/14</w:t>
      </w:r>
      <w:r w:rsidR="00873BE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  <w:r w:rsidR="00492C1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U</w:t>
      </w:r>
      <w:r w:rsidR="00F06FE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chybienie </w:t>
      </w:r>
      <w:r w:rsidR="00492C1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miesięcznemu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termin</w:t>
      </w:r>
      <w:r w:rsidR="00F06FE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owi </w:t>
      </w:r>
      <w:r w:rsidR="0059719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na złożenie skargi </w:t>
      </w:r>
      <w:r w:rsidR="009372B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skutkowało </w:t>
      </w:r>
      <w:r w:rsidR="0059719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zaś </w:t>
      </w:r>
      <w:r w:rsidR="00F06FE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ostatecznym „uprawomocnieniem” się orzeczenia opartego o niekonstytucyjny przepis</w:t>
      </w:r>
      <w:r w:rsidR="0059719F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i </w:t>
      </w:r>
      <w:r w:rsidR="00B047F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wygaśnięciem prawa do żądania zwrotu nieruchomości</w:t>
      </w:r>
      <w:r w:rsidR="00F06FEC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</w:t>
      </w:r>
    </w:p>
    <w:p w14:paraId="6B04F61D" w14:textId="1AFE94FA" w:rsidR="00D0588C" w:rsidRPr="000D4058" w:rsidRDefault="00D0588C" w:rsidP="00D0588C">
      <w:pPr>
        <w:ind w:firstLine="708"/>
        <w:jc w:val="both"/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Analogiczny mechanizm „wygaśnięcia” uprawnienia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w zawiązku z uchybieniem terminowi z art. 145a KPA, miał miejsce w przypadku osób, które bezskutecznie zgłaszały żądanie zwrotu nieruchomości „wywłaszczonych” w oparciu o umowę zawartą w formie notarialnej. W ich przypadku miesięczny termin na zgłoszenie skargi o ponowne rozpatrzenie sprawy rozpoczął bieg po wyroku TK </w:t>
      </w:r>
      <w:r w:rsidRPr="000D4058">
        <w:rPr>
          <w:rFonts w:ascii="Times New Roman" w:hAnsi="Times New Roman" w:cs="Times New Roman"/>
          <w:iCs/>
          <w:sz w:val="27"/>
          <w:szCs w:val="27"/>
          <w:shd w:val="clear" w:color="auto" w:fill="FFFFFF"/>
          <w:lang w:eastAsia="pl-PL" w:bidi="pl-PL"/>
        </w:rPr>
        <w:t xml:space="preserve">z dnia 12 grudnia 2017 r. sygn. akt SK 39/15. </w:t>
      </w:r>
    </w:p>
    <w:p w14:paraId="7ABED1E9" w14:textId="28ADFB04" w:rsidR="0059719F" w:rsidRPr="000D4058" w:rsidRDefault="00F06FEC" w:rsidP="009E2205">
      <w:pPr>
        <w:ind w:firstLine="708"/>
        <w:jc w:val="both"/>
        <w:rPr>
          <w:rStyle w:val="Teksttreci2115ptKursywa"/>
          <w:rFonts w:eastAsiaTheme="minorHAnsi"/>
          <w:i w:val="0"/>
          <w:color w:val="auto"/>
          <w:sz w:val="27"/>
          <w:szCs w:val="27"/>
        </w:rPr>
      </w:pP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Jak wskazuje informacja zawarta na stronie 6 dokumentu 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„O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cena skutków regulacji</w:t>
      </w:r>
      <w:r w:rsidR="00164CAA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”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 w latach 1998-2018 odnotowano co najmniej 4242 przypadki spraw, w których zastosowano przepisy zakwestionowane przez TK. Znamiennym jest, że w tabeli brak jest informacji o ilości wznowionych postępowań. Pozwala to wnioskować o braku takich przypadków</w:t>
      </w:r>
      <w:r w:rsidR="00B047F4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,</w:t>
      </w:r>
      <w:r w:rsidR="00F263E8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lub ich znikomym wymiarze</w:t>
      </w:r>
      <w:r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.</w:t>
      </w:r>
      <w:r w:rsidR="00C33E7D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We wszystkich tych sprawach </w:t>
      </w:r>
      <w:r w:rsidR="00AF6999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nowelizacja 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zakłada </w:t>
      </w:r>
      <w:r w:rsidR="00CF5D5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zatem 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skutek, który można uznać za swoiste zrzeczenie się przez Państwo ochrony wynikając</w:t>
      </w:r>
      <w:r w:rsidR="002F12F6">
        <w:rPr>
          <w:rStyle w:val="Teksttreci2115ptKursywa"/>
          <w:rFonts w:eastAsiaTheme="minorHAnsi"/>
          <w:i w:val="0"/>
          <w:color w:val="auto"/>
          <w:sz w:val="27"/>
          <w:szCs w:val="27"/>
        </w:rPr>
        <w:t>ej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z art. 145 a KPA</w:t>
      </w:r>
      <w:r w:rsidR="00CF5D5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Jeżeli wejdzie w życie, to umożliwi reprywatyzację nieruchomości państwowych w przypadkach, w których 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własności</w:t>
      </w:r>
      <w:r w:rsidR="00CF5D5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publiczna nie powinn</w:t>
      </w:r>
      <w:r w:rsidR="00947360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>a</w:t>
      </w:r>
      <w:r w:rsidR="00CF5D56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 być już podważana</w:t>
      </w:r>
      <w:r w:rsidR="00620875" w:rsidRPr="000D4058">
        <w:rPr>
          <w:rStyle w:val="Teksttreci2115ptKursywa"/>
          <w:rFonts w:eastAsiaTheme="minorHAnsi"/>
          <w:i w:val="0"/>
          <w:color w:val="auto"/>
          <w:sz w:val="27"/>
          <w:szCs w:val="27"/>
        </w:rPr>
        <w:t xml:space="preserve">. Niejako przy okazji, analogiczny skutek nastąpi kosztem gmin. </w:t>
      </w:r>
    </w:p>
    <w:p w14:paraId="03C1F25B" w14:textId="4514D832" w:rsidR="00D0588C" w:rsidRPr="000D4058" w:rsidRDefault="00CF5D56" w:rsidP="003912B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>R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ozwiązanie </w:t>
      </w:r>
      <w:r w:rsidR="00F263E8" w:rsidRPr="000D4058">
        <w:rPr>
          <w:rFonts w:ascii="Times New Roman" w:hAnsi="Times New Roman" w:cs="Times New Roman"/>
          <w:sz w:val="27"/>
          <w:szCs w:val="27"/>
        </w:rPr>
        <w:t>proponowane w</w:t>
      </w:r>
      <w:r w:rsidR="00AF6999" w:rsidRPr="000D4058">
        <w:rPr>
          <w:rFonts w:ascii="Times New Roman" w:hAnsi="Times New Roman" w:cs="Times New Roman"/>
          <w:sz w:val="27"/>
          <w:szCs w:val="27"/>
        </w:rPr>
        <w:t xml:space="preserve"> nowelizacji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, </w:t>
      </w:r>
      <w:r w:rsidR="00DB5221" w:rsidRPr="000D4058">
        <w:rPr>
          <w:rFonts w:ascii="Times New Roman" w:hAnsi="Times New Roman" w:cs="Times New Roman"/>
          <w:i/>
          <w:sz w:val="27"/>
          <w:szCs w:val="27"/>
        </w:rPr>
        <w:t>de facto</w:t>
      </w:r>
      <w:r w:rsidR="00DB5221" w:rsidRPr="000D4058">
        <w:rPr>
          <w:rFonts w:ascii="Times New Roman" w:hAnsi="Times New Roman" w:cs="Times New Roman"/>
          <w:sz w:val="27"/>
          <w:szCs w:val="27"/>
        </w:rPr>
        <w:t xml:space="preserve"> </w:t>
      </w:r>
      <w:r w:rsidR="00F263E8" w:rsidRPr="000D4058">
        <w:rPr>
          <w:rFonts w:ascii="Times New Roman" w:hAnsi="Times New Roman" w:cs="Times New Roman"/>
          <w:sz w:val="27"/>
          <w:szCs w:val="27"/>
        </w:rPr>
        <w:t>przywracające byłym właścicielom termin na złożeni</w:t>
      </w:r>
      <w:r w:rsidR="00B047F4" w:rsidRPr="000D4058">
        <w:rPr>
          <w:rFonts w:ascii="Times New Roman" w:hAnsi="Times New Roman" w:cs="Times New Roman"/>
          <w:sz w:val="27"/>
          <w:szCs w:val="27"/>
        </w:rPr>
        <w:t>e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 wniosku zwrotowego,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 należy uznać za całkowicie niezrozumiałe</w:t>
      </w:r>
      <w:r w:rsidR="00F263E8" w:rsidRPr="000D4058">
        <w:rPr>
          <w:rFonts w:ascii="Times New Roman" w:hAnsi="Times New Roman" w:cs="Times New Roman"/>
          <w:sz w:val="27"/>
          <w:szCs w:val="27"/>
        </w:rPr>
        <w:t>.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 </w:t>
      </w:r>
      <w:r w:rsidR="00F263E8" w:rsidRPr="000D4058">
        <w:rPr>
          <w:rFonts w:ascii="Times New Roman" w:hAnsi="Times New Roman" w:cs="Times New Roman"/>
          <w:sz w:val="27"/>
          <w:szCs w:val="27"/>
        </w:rPr>
        <w:t>G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odzi 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ono 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w postulowaną przez TK zasadę stabilizacji stosunków prawnych, 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a nawet 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wprowadza niczym nieuzasadnione uprzywilejowanie 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tych </w:t>
      </w:r>
      <w:r w:rsidR="00C33E7D" w:rsidRPr="000D4058">
        <w:rPr>
          <w:rFonts w:ascii="Times New Roman" w:hAnsi="Times New Roman" w:cs="Times New Roman"/>
          <w:sz w:val="27"/>
          <w:szCs w:val="27"/>
        </w:rPr>
        <w:t>osób</w:t>
      </w:r>
      <w:r w:rsidR="00D0588C" w:rsidRPr="000D4058">
        <w:rPr>
          <w:rFonts w:ascii="Times New Roman" w:hAnsi="Times New Roman" w:cs="Times New Roman"/>
          <w:sz w:val="27"/>
          <w:szCs w:val="27"/>
        </w:rPr>
        <w:t>.</w:t>
      </w:r>
    </w:p>
    <w:p w14:paraId="50EA004C" w14:textId="394F41C4" w:rsidR="00F967E3" w:rsidRPr="000D4058" w:rsidRDefault="00D0588C" w:rsidP="003912B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lastRenderedPageBreak/>
        <w:t xml:space="preserve">Treść uzasadnieniu projektu nie daje odpowiedzi, dlaczego wobec osób dotkniętych stosowaniem niekonstytucyjnych przepisów z ugn należy wyłączyć stosowanie art. 145a KPA, choć przepis ten ma zastosowanie </w:t>
      </w:r>
      <w:r w:rsidR="00C33E7D" w:rsidRPr="000D4058">
        <w:rPr>
          <w:rFonts w:ascii="Times New Roman" w:hAnsi="Times New Roman" w:cs="Times New Roman"/>
          <w:sz w:val="27"/>
          <w:szCs w:val="27"/>
        </w:rPr>
        <w:t xml:space="preserve">do </w:t>
      </w:r>
      <w:r w:rsidRPr="000D4058">
        <w:rPr>
          <w:rFonts w:ascii="Times New Roman" w:hAnsi="Times New Roman" w:cs="Times New Roman"/>
          <w:sz w:val="27"/>
          <w:szCs w:val="27"/>
        </w:rPr>
        <w:t xml:space="preserve">wszystkich </w:t>
      </w:r>
      <w:r w:rsidR="00C33E7D" w:rsidRPr="000D4058">
        <w:rPr>
          <w:rFonts w:ascii="Times New Roman" w:hAnsi="Times New Roman" w:cs="Times New Roman"/>
          <w:sz w:val="27"/>
          <w:szCs w:val="27"/>
        </w:rPr>
        <w:t>podmiotów, co do których wydano decyzję w oparciu o niekonstytucyjny przepis</w:t>
      </w:r>
      <w:r w:rsidRPr="000D4058">
        <w:rPr>
          <w:rFonts w:ascii="Times New Roman" w:hAnsi="Times New Roman" w:cs="Times New Roman"/>
          <w:sz w:val="27"/>
          <w:szCs w:val="27"/>
        </w:rPr>
        <w:t>. Okoliczność ta, w połączeniu z zasadą równego traktowania przez prawo, uzasadnia wniosek, że proponowane rozwiązanie najprawdopodobniej narusza Konstytucję.</w:t>
      </w:r>
    </w:p>
    <w:p w14:paraId="348279CF" w14:textId="4A39E986" w:rsidR="007771B4" w:rsidRPr="000D4058" w:rsidRDefault="009477FD">
      <w:pPr>
        <w:rPr>
          <w:rFonts w:ascii="Times New Roman" w:hAnsi="Times New Roman" w:cs="Times New Roman"/>
          <w:b/>
          <w:sz w:val="27"/>
          <w:szCs w:val="27"/>
        </w:rPr>
      </w:pPr>
      <w:r w:rsidRPr="000D4058">
        <w:rPr>
          <w:rFonts w:ascii="Times New Roman" w:hAnsi="Times New Roman" w:cs="Times New Roman"/>
          <w:b/>
          <w:sz w:val="27"/>
          <w:szCs w:val="27"/>
        </w:rPr>
        <w:t xml:space="preserve">Wnioski końcowe </w:t>
      </w:r>
    </w:p>
    <w:p w14:paraId="5B19255E" w14:textId="1206DCD5" w:rsidR="00F263E8" w:rsidRPr="000D4058" w:rsidRDefault="009477FD" w:rsidP="003E3FA9">
      <w:pPr>
        <w:jc w:val="both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ab/>
        <w:t>Generalnie nowelizacj</w:t>
      </w:r>
      <w:r w:rsidR="00AF6999" w:rsidRPr="000D4058">
        <w:rPr>
          <w:rFonts w:ascii="Times New Roman" w:hAnsi="Times New Roman" w:cs="Times New Roman"/>
          <w:sz w:val="27"/>
          <w:szCs w:val="27"/>
        </w:rPr>
        <w:t>ę</w:t>
      </w:r>
      <w:r w:rsidRPr="000D4058">
        <w:rPr>
          <w:rFonts w:ascii="Times New Roman" w:hAnsi="Times New Roman" w:cs="Times New Roman"/>
          <w:sz w:val="27"/>
          <w:szCs w:val="27"/>
        </w:rPr>
        <w:t xml:space="preserve"> ugn należy ocenić jako realizujący przywołane orzeczenia TK</w:t>
      </w:r>
      <w:r w:rsidR="00C51A8D" w:rsidRPr="000D4058">
        <w:rPr>
          <w:sz w:val="27"/>
          <w:szCs w:val="27"/>
        </w:rPr>
        <w:t xml:space="preserve"> </w:t>
      </w:r>
      <w:r w:rsidR="00C51A8D" w:rsidRPr="000D4058">
        <w:rPr>
          <w:rFonts w:ascii="Times New Roman" w:hAnsi="Times New Roman" w:cs="Times New Roman"/>
          <w:sz w:val="27"/>
          <w:szCs w:val="27"/>
        </w:rPr>
        <w:t>z dnia 14 lipca 2015 r. (sygn. akt SK 26/14) oraz z dnia 12 grudnia 2017 r. (sygn. akt SK 39/15), w zakresie</w:t>
      </w:r>
      <w:r w:rsidR="00620875" w:rsidRPr="000D4058">
        <w:rPr>
          <w:rFonts w:ascii="Times New Roman" w:hAnsi="Times New Roman" w:cs="Times New Roman"/>
          <w:sz w:val="27"/>
          <w:szCs w:val="27"/>
        </w:rPr>
        <w:t>,</w:t>
      </w:r>
      <w:r w:rsidR="00C51A8D" w:rsidRPr="000D4058">
        <w:rPr>
          <w:rFonts w:ascii="Times New Roman" w:hAnsi="Times New Roman" w:cs="Times New Roman"/>
          <w:sz w:val="27"/>
          <w:szCs w:val="27"/>
        </w:rPr>
        <w:t xml:space="preserve"> w jakim dotyczy to </w:t>
      </w:r>
      <w:r w:rsidR="003E3FA9" w:rsidRPr="000D4058">
        <w:rPr>
          <w:rFonts w:ascii="Times New Roman" w:hAnsi="Times New Roman" w:cs="Times New Roman"/>
          <w:sz w:val="27"/>
          <w:szCs w:val="27"/>
        </w:rPr>
        <w:t>zwrot</w:t>
      </w:r>
      <w:r w:rsidR="00BC14E9" w:rsidRPr="000D4058">
        <w:rPr>
          <w:rFonts w:ascii="Times New Roman" w:hAnsi="Times New Roman" w:cs="Times New Roman"/>
          <w:sz w:val="27"/>
          <w:szCs w:val="27"/>
        </w:rPr>
        <w:t>u</w:t>
      </w:r>
      <w:r w:rsidR="003E3FA9" w:rsidRPr="000D4058">
        <w:rPr>
          <w:rFonts w:ascii="Times New Roman" w:hAnsi="Times New Roman" w:cs="Times New Roman"/>
          <w:sz w:val="27"/>
          <w:szCs w:val="27"/>
        </w:rPr>
        <w:t xml:space="preserve"> nieruchomości</w:t>
      </w:r>
      <w:r w:rsidR="00BC14E9" w:rsidRPr="000D4058">
        <w:rPr>
          <w:rFonts w:ascii="Times New Roman" w:hAnsi="Times New Roman" w:cs="Times New Roman"/>
          <w:sz w:val="27"/>
          <w:szCs w:val="27"/>
        </w:rPr>
        <w:t>,</w:t>
      </w:r>
      <w:r w:rsidR="003E3FA9" w:rsidRPr="000D4058">
        <w:rPr>
          <w:rFonts w:ascii="Times New Roman" w:hAnsi="Times New Roman" w:cs="Times New Roman"/>
          <w:sz w:val="27"/>
          <w:szCs w:val="27"/>
        </w:rPr>
        <w:t xml:space="preserve"> których zbędność dla realizacji celu wywłaszczenia zaistniała obecnie.</w:t>
      </w:r>
      <w:r w:rsidR="00C51A8D" w:rsidRPr="000D405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EF48F77" w14:textId="6B867216" w:rsidR="00942DC2" w:rsidRPr="000D4058" w:rsidRDefault="003E3FA9" w:rsidP="00F263E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 xml:space="preserve">Proponowane rozwiązania budzą jednak wątpliwości, co do funkcjonalności, </w:t>
      </w:r>
      <w:r w:rsidR="00620875" w:rsidRPr="000D4058">
        <w:rPr>
          <w:rFonts w:ascii="Times New Roman" w:hAnsi="Times New Roman" w:cs="Times New Roman"/>
          <w:sz w:val="27"/>
          <w:szCs w:val="27"/>
        </w:rPr>
        <w:t xml:space="preserve">adekwatności, </w:t>
      </w:r>
      <w:r w:rsidRPr="000D4058">
        <w:rPr>
          <w:rFonts w:ascii="Times New Roman" w:hAnsi="Times New Roman" w:cs="Times New Roman"/>
          <w:sz w:val="27"/>
          <w:szCs w:val="27"/>
        </w:rPr>
        <w:t>a nawet zgodności z Konstytucją</w:t>
      </w:r>
      <w:r w:rsidR="00F263E8" w:rsidRPr="000D4058">
        <w:rPr>
          <w:rFonts w:ascii="Times New Roman" w:hAnsi="Times New Roman" w:cs="Times New Roman"/>
          <w:sz w:val="27"/>
          <w:szCs w:val="27"/>
        </w:rPr>
        <w:t>,</w:t>
      </w:r>
      <w:r w:rsidRPr="000D4058">
        <w:rPr>
          <w:rFonts w:ascii="Times New Roman" w:hAnsi="Times New Roman" w:cs="Times New Roman"/>
          <w:sz w:val="27"/>
          <w:szCs w:val="27"/>
        </w:rPr>
        <w:t xml:space="preserve"> w zakresie przepisów przejściowych. Wydaje się, że uwaga projektodawców skupiona została wyłącznie na zabezpieczeni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u </w:t>
      </w:r>
      <w:r w:rsidRPr="000D4058">
        <w:rPr>
          <w:rFonts w:ascii="Times New Roman" w:hAnsi="Times New Roman" w:cs="Times New Roman"/>
          <w:sz w:val="27"/>
          <w:szCs w:val="27"/>
        </w:rPr>
        <w:t>praw osób wywłaszczonych</w:t>
      </w:r>
      <w:r w:rsidR="001F7CC2" w:rsidRPr="000D4058">
        <w:rPr>
          <w:rFonts w:ascii="Times New Roman" w:hAnsi="Times New Roman" w:cs="Times New Roman"/>
          <w:sz w:val="27"/>
          <w:szCs w:val="27"/>
        </w:rPr>
        <w:t>.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 W efekcie </w:t>
      </w:r>
      <w:r w:rsidRPr="000D4058">
        <w:rPr>
          <w:rFonts w:ascii="Times New Roman" w:hAnsi="Times New Roman" w:cs="Times New Roman"/>
          <w:sz w:val="27"/>
          <w:szCs w:val="27"/>
        </w:rPr>
        <w:t xml:space="preserve">całkowicie zaniechano próby wyważenia </w:t>
      </w:r>
      <w:r w:rsidR="00DB6194" w:rsidRPr="000D4058">
        <w:rPr>
          <w:rFonts w:ascii="Times New Roman" w:hAnsi="Times New Roman" w:cs="Times New Roman"/>
          <w:sz w:val="27"/>
          <w:szCs w:val="27"/>
        </w:rPr>
        <w:t xml:space="preserve">praw </w:t>
      </w:r>
      <w:r w:rsidR="00BC14E9" w:rsidRPr="000D4058">
        <w:rPr>
          <w:rFonts w:ascii="Times New Roman" w:hAnsi="Times New Roman" w:cs="Times New Roman"/>
          <w:sz w:val="27"/>
          <w:szCs w:val="27"/>
        </w:rPr>
        <w:t>przysługujących tym osobom,</w:t>
      </w:r>
      <w:r w:rsidRPr="000D4058">
        <w:rPr>
          <w:rFonts w:ascii="Times New Roman" w:hAnsi="Times New Roman" w:cs="Times New Roman"/>
          <w:sz w:val="27"/>
          <w:szCs w:val="27"/>
        </w:rPr>
        <w:t xml:space="preserve"> z innymi wartościami znajdującymi umocowanie w Konstytucji, na które uwagę zwrócił TK.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 </w:t>
      </w:r>
      <w:r w:rsidR="00F263E8" w:rsidRPr="000D4058">
        <w:rPr>
          <w:rFonts w:ascii="Times New Roman" w:hAnsi="Times New Roman" w:cs="Times New Roman"/>
          <w:sz w:val="27"/>
          <w:szCs w:val="27"/>
        </w:rPr>
        <w:t>N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iedostatecznie rozważono wpływ proponowanych regulacji na 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pewność prawa i </w:t>
      </w:r>
      <w:r w:rsidR="00BC14E9" w:rsidRPr="000D4058">
        <w:rPr>
          <w:rFonts w:ascii="Times New Roman" w:hAnsi="Times New Roman" w:cs="Times New Roman"/>
          <w:sz w:val="27"/>
          <w:szCs w:val="27"/>
        </w:rPr>
        <w:t>stabil</w:t>
      </w:r>
      <w:r w:rsidR="00F263E8" w:rsidRPr="000D4058">
        <w:rPr>
          <w:rFonts w:ascii="Times New Roman" w:hAnsi="Times New Roman" w:cs="Times New Roman"/>
          <w:sz w:val="27"/>
          <w:szCs w:val="27"/>
        </w:rPr>
        <w:t>ność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 stosunków własnościowych</w:t>
      </w:r>
      <w:r w:rsidR="00F263E8" w:rsidRPr="000D4058">
        <w:rPr>
          <w:rFonts w:ascii="Times New Roman" w:hAnsi="Times New Roman" w:cs="Times New Roman"/>
          <w:sz w:val="27"/>
          <w:szCs w:val="27"/>
        </w:rPr>
        <w:t>, a także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 zignorowano potrzebę oceny proponowanych mechanizmów</w:t>
      </w:r>
      <w:r w:rsidR="00620875" w:rsidRPr="000D4058">
        <w:rPr>
          <w:rFonts w:ascii="Times New Roman" w:hAnsi="Times New Roman" w:cs="Times New Roman"/>
          <w:sz w:val="27"/>
          <w:szCs w:val="27"/>
        </w:rPr>
        <w:t>,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 w kontekście </w:t>
      </w:r>
      <w:r w:rsidRPr="000D4058">
        <w:rPr>
          <w:rFonts w:ascii="Times New Roman" w:hAnsi="Times New Roman" w:cs="Times New Roman"/>
          <w:sz w:val="27"/>
          <w:szCs w:val="27"/>
        </w:rPr>
        <w:t xml:space="preserve">ochrony praw osób trzecich, 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zwłaszcza </w:t>
      </w:r>
      <w:r w:rsidRPr="000D4058">
        <w:rPr>
          <w:rFonts w:ascii="Times New Roman" w:hAnsi="Times New Roman" w:cs="Times New Roman"/>
          <w:sz w:val="27"/>
          <w:szCs w:val="27"/>
        </w:rPr>
        <w:t>jednostek samorządu terytorialnego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 </w:t>
      </w:r>
      <w:r w:rsidRPr="000D4058">
        <w:rPr>
          <w:rFonts w:ascii="Times New Roman" w:hAnsi="Times New Roman" w:cs="Times New Roman"/>
          <w:sz w:val="27"/>
          <w:szCs w:val="27"/>
        </w:rPr>
        <w:t>i podmiotów prywatnych (np. działkowców)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. Wątpliwości budzi także całkowita </w:t>
      </w:r>
      <w:r w:rsidRPr="000D4058">
        <w:rPr>
          <w:rFonts w:ascii="Times New Roman" w:hAnsi="Times New Roman" w:cs="Times New Roman"/>
          <w:sz w:val="27"/>
          <w:szCs w:val="27"/>
        </w:rPr>
        <w:t>rezygn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acja z </w:t>
      </w:r>
      <w:r w:rsidRPr="000D4058">
        <w:rPr>
          <w:rFonts w:ascii="Times New Roman" w:hAnsi="Times New Roman" w:cs="Times New Roman"/>
          <w:sz w:val="27"/>
          <w:szCs w:val="27"/>
        </w:rPr>
        <w:t xml:space="preserve">ochrony </w:t>
      </w:r>
      <w:r w:rsidR="00BC14E9" w:rsidRPr="000D4058">
        <w:rPr>
          <w:rFonts w:ascii="Times New Roman" w:hAnsi="Times New Roman" w:cs="Times New Roman"/>
          <w:sz w:val="27"/>
          <w:szCs w:val="27"/>
        </w:rPr>
        <w:t xml:space="preserve">praw </w:t>
      </w:r>
      <w:r w:rsidRPr="000D4058">
        <w:rPr>
          <w:rFonts w:ascii="Times New Roman" w:hAnsi="Times New Roman" w:cs="Times New Roman"/>
          <w:sz w:val="27"/>
          <w:szCs w:val="27"/>
        </w:rPr>
        <w:t>SP.</w:t>
      </w:r>
      <w:r w:rsidR="00F263E8" w:rsidRPr="000D405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6583E75" w14:textId="679112BA" w:rsidR="00BC14E9" w:rsidRPr="000D4058" w:rsidRDefault="00BC14E9" w:rsidP="00F263E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>Odrębną kwestią jest nieuzasadnion</w:t>
      </w:r>
      <w:r w:rsidR="00942DC2" w:rsidRPr="000D4058">
        <w:rPr>
          <w:rFonts w:ascii="Times New Roman" w:hAnsi="Times New Roman" w:cs="Times New Roman"/>
          <w:sz w:val="27"/>
          <w:szCs w:val="27"/>
        </w:rPr>
        <w:t>e</w:t>
      </w:r>
      <w:r w:rsidRPr="000D4058">
        <w:rPr>
          <w:rFonts w:ascii="Times New Roman" w:hAnsi="Times New Roman" w:cs="Times New Roman"/>
          <w:sz w:val="27"/>
          <w:szCs w:val="27"/>
        </w:rPr>
        <w:t xml:space="preserve"> </w:t>
      </w:r>
      <w:r w:rsidR="00577E11" w:rsidRPr="000D4058">
        <w:rPr>
          <w:rFonts w:ascii="Times New Roman" w:hAnsi="Times New Roman" w:cs="Times New Roman"/>
          <w:sz w:val="27"/>
          <w:szCs w:val="27"/>
        </w:rPr>
        <w:t xml:space="preserve">przywrócenie terminów na zgłaszanie żądania zwrotu nieruchomości </w:t>
      </w:r>
      <w:r w:rsidR="00942DC2" w:rsidRPr="000D4058">
        <w:rPr>
          <w:rFonts w:ascii="Times New Roman" w:hAnsi="Times New Roman" w:cs="Times New Roman"/>
          <w:sz w:val="27"/>
          <w:szCs w:val="27"/>
        </w:rPr>
        <w:t>w przypadku osób</w:t>
      </w:r>
      <w:r w:rsidR="00577E11" w:rsidRPr="000D4058">
        <w:rPr>
          <w:rFonts w:ascii="Times New Roman" w:hAnsi="Times New Roman" w:cs="Times New Roman"/>
          <w:sz w:val="27"/>
          <w:szCs w:val="27"/>
        </w:rPr>
        <w:t xml:space="preserve">, które w przeszłości uchybiły 3 miesięcznemu terminowi na zgłoszenie takiego żądania (art. 136 ust. 5 ugn) oraz </w:t>
      </w:r>
      <w:r w:rsidR="00114EF2" w:rsidRPr="000D4058">
        <w:rPr>
          <w:rFonts w:ascii="Times New Roman" w:hAnsi="Times New Roman" w:cs="Times New Roman"/>
          <w:sz w:val="27"/>
          <w:szCs w:val="27"/>
        </w:rPr>
        <w:t>uchyleni</w:t>
      </w:r>
      <w:r w:rsidRPr="000D4058">
        <w:rPr>
          <w:rFonts w:ascii="Times New Roman" w:hAnsi="Times New Roman" w:cs="Times New Roman"/>
          <w:sz w:val="27"/>
          <w:szCs w:val="27"/>
        </w:rPr>
        <w:t>e</w:t>
      </w:r>
      <w:r w:rsidR="00114EF2" w:rsidRPr="000D4058">
        <w:rPr>
          <w:rFonts w:ascii="Times New Roman" w:hAnsi="Times New Roman" w:cs="Times New Roman"/>
          <w:sz w:val="27"/>
          <w:szCs w:val="27"/>
        </w:rPr>
        <w:t xml:space="preserve"> stosowania </w:t>
      </w:r>
      <w:r w:rsidR="0073525E" w:rsidRPr="000D4058">
        <w:rPr>
          <w:rFonts w:ascii="Times New Roman" w:hAnsi="Times New Roman" w:cs="Times New Roman"/>
          <w:sz w:val="27"/>
          <w:szCs w:val="27"/>
        </w:rPr>
        <w:t xml:space="preserve">do tej kategorii spraw </w:t>
      </w:r>
      <w:r w:rsidR="00114EF2" w:rsidRPr="000D4058">
        <w:rPr>
          <w:rFonts w:ascii="Times New Roman" w:hAnsi="Times New Roman" w:cs="Times New Roman"/>
          <w:sz w:val="27"/>
          <w:szCs w:val="27"/>
        </w:rPr>
        <w:t>art. 145</w:t>
      </w:r>
      <w:r w:rsidRPr="000D4058">
        <w:rPr>
          <w:rFonts w:ascii="Times New Roman" w:hAnsi="Times New Roman" w:cs="Times New Roman"/>
          <w:sz w:val="27"/>
          <w:szCs w:val="27"/>
        </w:rPr>
        <w:t>a</w:t>
      </w:r>
      <w:r w:rsidR="00114EF2" w:rsidRPr="000D4058">
        <w:rPr>
          <w:rFonts w:ascii="Times New Roman" w:hAnsi="Times New Roman" w:cs="Times New Roman"/>
          <w:sz w:val="27"/>
          <w:szCs w:val="27"/>
        </w:rPr>
        <w:t xml:space="preserve"> kpa</w:t>
      </w:r>
      <w:r w:rsidR="00DB6194" w:rsidRPr="000D4058">
        <w:rPr>
          <w:rFonts w:ascii="Times New Roman" w:hAnsi="Times New Roman" w:cs="Times New Roman"/>
          <w:sz w:val="27"/>
          <w:szCs w:val="27"/>
        </w:rPr>
        <w:t>, a tym samym uprzywilejowanie osób zgłaszających żądanie zwrotu wywłaszczonych nieruchomości</w:t>
      </w:r>
      <w:r w:rsidR="001F7CC2" w:rsidRPr="000D4058">
        <w:rPr>
          <w:rFonts w:ascii="Times New Roman" w:hAnsi="Times New Roman" w:cs="Times New Roman"/>
          <w:sz w:val="27"/>
          <w:szCs w:val="27"/>
        </w:rPr>
        <w:t>, w stosunku to innych</w:t>
      </w:r>
      <w:r w:rsidR="0073525E" w:rsidRPr="000D4058">
        <w:rPr>
          <w:rFonts w:ascii="Times New Roman" w:hAnsi="Times New Roman" w:cs="Times New Roman"/>
          <w:sz w:val="27"/>
          <w:szCs w:val="27"/>
        </w:rPr>
        <w:t xml:space="preserve"> podmiotów</w:t>
      </w:r>
      <w:r w:rsidR="001F7CC2" w:rsidRPr="000D4058">
        <w:rPr>
          <w:rFonts w:ascii="Times New Roman" w:hAnsi="Times New Roman" w:cs="Times New Roman"/>
          <w:sz w:val="27"/>
          <w:szCs w:val="27"/>
        </w:rPr>
        <w:t>, których</w:t>
      </w:r>
      <w:r w:rsidR="0073525E" w:rsidRPr="000D4058">
        <w:rPr>
          <w:rFonts w:ascii="Times New Roman" w:hAnsi="Times New Roman" w:cs="Times New Roman"/>
          <w:sz w:val="27"/>
          <w:szCs w:val="27"/>
        </w:rPr>
        <w:t xml:space="preserve"> sprawy rozstrzygano w oparciu o przepis, którego niekonstytucyjność stwierdził TK</w:t>
      </w:r>
      <w:r w:rsidRPr="000D4058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3804901" w14:textId="1FE50ADA" w:rsidR="008F71A2" w:rsidRPr="000D4058" w:rsidRDefault="008F71A2" w:rsidP="008F71A2">
      <w:pPr>
        <w:ind w:left="4956"/>
        <w:jc w:val="center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>Krajowy Zarząd</w:t>
      </w:r>
    </w:p>
    <w:p w14:paraId="15B0EC06" w14:textId="31337A33" w:rsidR="002F12F6" w:rsidRDefault="008F71A2" w:rsidP="002F12F6">
      <w:pPr>
        <w:ind w:left="4956"/>
        <w:jc w:val="center"/>
        <w:rPr>
          <w:rFonts w:ascii="Times New Roman" w:hAnsi="Times New Roman" w:cs="Times New Roman"/>
          <w:sz w:val="27"/>
          <w:szCs w:val="27"/>
        </w:rPr>
      </w:pPr>
      <w:r w:rsidRPr="000D4058">
        <w:rPr>
          <w:rFonts w:ascii="Times New Roman" w:hAnsi="Times New Roman" w:cs="Times New Roman"/>
          <w:sz w:val="27"/>
          <w:szCs w:val="27"/>
        </w:rPr>
        <w:t>Polskiego Związku Działkowców</w:t>
      </w:r>
    </w:p>
    <w:p w14:paraId="1EE3CA13" w14:textId="23CC02B0" w:rsidR="002F12F6" w:rsidRDefault="002F12F6" w:rsidP="002F12F6">
      <w:pPr>
        <w:rPr>
          <w:rFonts w:ascii="Times New Roman" w:hAnsi="Times New Roman" w:cs="Times New Roman"/>
          <w:sz w:val="27"/>
          <w:szCs w:val="27"/>
        </w:rPr>
      </w:pPr>
    </w:p>
    <w:p w14:paraId="648FCDDC" w14:textId="7BD96C66" w:rsidR="002F12F6" w:rsidRDefault="002F12F6" w:rsidP="002F12F6">
      <w:pPr>
        <w:rPr>
          <w:rFonts w:ascii="Times New Roman" w:hAnsi="Times New Roman" w:cs="Times New Roman"/>
          <w:sz w:val="27"/>
          <w:szCs w:val="27"/>
        </w:rPr>
      </w:pPr>
    </w:p>
    <w:p w14:paraId="5F209271" w14:textId="7F9EEFF5" w:rsidR="002F12F6" w:rsidRDefault="002F12F6" w:rsidP="002F12F6">
      <w:pPr>
        <w:rPr>
          <w:rFonts w:ascii="Times New Roman" w:hAnsi="Times New Roman" w:cs="Times New Roman"/>
          <w:sz w:val="27"/>
          <w:szCs w:val="27"/>
        </w:rPr>
      </w:pPr>
    </w:p>
    <w:p w14:paraId="0F689453" w14:textId="3A0EF39E" w:rsidR="002F12F6" w:rsidRDefault="002F12F6" w:rsidP="002F12F6">
      <w:pPr>
        <w:rPr>
          <w:rFonts w:ascii="Times New Roman" w:hAnsi="Times New Roman" w:cs="Times New Roman"/>
          <w:sz w:val="27"/>
          <w:szCs w:val="27"/>
        </w:rPr>
      </w:pPr>
    </w:p>
    <w:p w14:paraId="22D2AA30" w14:textId="249E355D" w:rsidR="002F12F6" w:rsidRPr="000D4058" w:rsidRDefault="002F12F6" w:rsidP="002F12F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Opracowanie: Biuro Prawne PZD</w:t>
      </w:r>
    </w:p>
    <w:sectPr w:rsidR="002F12F6" w:rsidRPr="000D4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DFA7" w14:textId="77777777" w:rsidR="006B5B23" w:rsidRDefault="006B5B23" w:rsidP="00CA66B6">
      <w:pPr>
        <w:spacing w:after="0" w:line="240" w:lineRule="auto"/>
      </w:pPr>
      <w:r>
        <w:separator/>
      </w:r>
    </w:p>
  </w:endnote>
  <w:endnote w:type="continuationSeparator" w:id="0">
    <w:p w14:paraId="7534264C" w14:textId="77777777" w:rsidR="006B5B23" w:rsidRDefault="006B5B23" w:rsidP="00C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3632"/>
      <w:docPartObj>
        <w:docPartGallery w:val="Page Numbers (Bottom of Page)"/>
        <w:docPartUnique/>
      </w:docPartObj>
    </w:sdtPr>
    <w:sdtEndPr/>
    <w:sdtContent>
      <w:p w14:paraId="0988080D" w14:textId="7FB255D2" w:rsidR="00CA66B6" w:rsidRDefault="00CA66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23">
          <w:rPr>
            <w:noProof/>
          </w:rPr>
          <w:t>1</w:t>
        </w:r>
        <w:r>
          <w:fldChar w:fldCharType="end"/>
        </w:r>
      </w:p>
    </w:sdtContent>
  </w:sdt>
  <w:p w14:paraId="3257ED8D" w14:textId="77777777" w:rsidR="00CA66B6" w:rsidRDefault="00CA6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EC5C" w14:textId="77777777" w:rsidR="006B5B23" w:rsidRDefault="006B5B23" w:rsidP="00CA66B6">
      <w:pPr>
        <w:spacing w:after="0" w:line="240" w:lineRule="auto"/>
      </w:pPr>
      <w:r>
        <w:separator/>
      </w:r>
    </w:p>
  </w:footnote>
  <w:footnote w:type="continuationSeparator" w:id="0">
    <w:p w14:paraId="2B4A3DCB" w14:textId="77777777" w:rsidR="006B5B23" w:rsidRDefault="006B5B23" w:rsidP="00C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2620"/>
    <w:multiLevelType w:val="multilevel"/>
    <w:tmpl w:val="A2202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E"/>
    <w:rsid w:val="00004217"/>
    <w:rsid w:val="00054B32"/>
    <w:rsid w:val="0007304E"/>
    <w:rsid w:val="0007666B"/>
    <w:rsid w:val="000D4058"/>
    <w:rsid w:val="000F5B00"/>
    <w:rsid w:val="00112914"/>
    <w:rsid w:val="00114EF2"/>
    <w:rsid w:val="00116A34"/>
    <w:rsid w:val="00120CFF"/>
    <w:rsid w:val="00131D0E"/>
    <w:rsid w:val="0013438E"/>
    <w:rsid w:val="001446ED"/>
    <w:rsid w:val="00164CAA"/>
    <w:rsid w:val="0016654E"/>
    <w:rsid w:val="001673DA"/>
    <w:rsid w:val="001D47B1"/>
    <w:rsid w:val="001F0241"/>
    <w:rsid w:val="001F7CC2"/>
    <w:rsid w:val="0020018D"/>
    <w:rsid w:val="002016F5"/>
    <w:rsid w:val="00223058"/>
    <w:rsid w:val="002A2EA7"/>
    <w:rsid w:val="002A4F12"/>
    <w:rsid w:val="002D7519"/>
    <w:rsid w:val="002F12F6"/>
    <w:rsid w:val="002F3B3C"/>
    <w:rsid w:val="00362A85"/>
    <w:rsid w:val="003912BD"/>
    <w:rsid w:val="003E3FA9"/>
    <w:rsid w:val="00412C4A"/>
    <w:rsid w:val="0044455A"/>
    <w:rsid w:val="004535FB"/>
    <w:rsid w:val="00492C14"/>
    <w:rsid w:val="004B57B5"/>
    <w:rsid w:val="004F1E36"/>
    <w:rsid w:val="00532043"/>
    <w:rsid w:val="00562E09"/>
    <w:rsid w:val="005734E6"/>
    <w:rsid w:val="005746D0"/>
    <w:rsid w:val="00577E11"/>
    <w:rsid w:val="0059719F"/>
    <w:rsid w:val="005A0953"/>
    <w:rsid w:val="00620875"/>
    <w:rsid w:val="00626EEE"/>
    <w:rsid w:val="006306AF"/>
    <w:rsid w:val="0064407F"/>
    <w:rsid w:val="00645DA2"/>
    <w:rsid w:val="006B3612"/>
    <w:rsid w:val="006B5B23"/>
    <w:rsid w:val="006C0482"/>
    <w:rsid w:val="006C74D4"/>
    <w:rsid w:val="006E045D"/>
    <w:rsid w:val="006E6FF8"/>
    <w:rsid w:val="00702F1A"/>
    <w:rsid w:val="00707889"/>
    <w:rsid w:val="00714F7F"/>
    <w:rsid w:val="00717F0F"/>
    <w:rsid w:val="0073525E"/>
    <w:rsid w:val="0074072F"/>
    <w:rsid w:val="0076408E"/>
    <w:rsid w:val="0077106C"/>
    <w:rsid w:val="007771B4"/>
    <w:rsid w:val="007B19EB"/>
    <w:rsid w:val="007C34BD"/>
    <w:rsid w:val="007C6195"/>
    <w:rsid w:val="007D0BE8"/>
    <w:rsid w:val="007D75C4"/>
    <w:rsid w:val="007F0EE1"/>
    <w:rsid w:val="0084297A"/>
    <w:rsid w:val="0085328A"/>
    <w:rsid w:val="00862BA0"/>
    <w:rsid w:val="00873BEF"/>
    <w:rsid w:val="00893D52"/>
    <w:rsid w:val="008A2E4F"/>
    <w:rsid w:val="008C1EB1"/>
    <w:rsid w:val="008C7AA0"/>
    <w:rsid w:val="008D0169"/>
    <w:rsid w:val="008E572C"/>
    <w:rsid w:val="008F71A2"/>
    <w:rsid w:val="00905CB2"/>
    <w:rsid w:val="00923510"/>
    <w:rsid w:val="009372B5"/>
    <w:rsid w:val="00942DC2"/>
    <w:rsid w:val="00947360"/>
    <w:rsid w:val="009477FD"/>
    <w:rsid w:val="009A1B4D"/>
    <w:rsid w:val="009A6DC5"/>
    <w:rsid w:val="009C66F6"/>
    <w:rsid w:val="009E2205"/>
    <w:rsid w:val="009E6ACC"/>
    <w:rsid w:val="00A04D94"/>
    <w:rsid w:val="00A06FDA"/>
    <w:rsid w:val="00A14CBA"/>
    <w:rsid w:val="00A16B09"/>
    <w:rsid w:val="00A252D7"/>
    <w:rsid w:val="00A3762C"/>
    <w:rsid w:val="00AA007F"/>
    <w:rsid w:val="00AB05E2"/>
    <w:rsid w:val="00AB50FC"/>
    <w:rsid w:val="00AC6F36"/>
    <w:rsid w:val="00AE09E8"/>
    <w:rsid w:val="00AE4AB0"/>
    <w:rsid w:val="00AF6999"/>
    <w:rsid w:val="00B0470F"/>
    <w:rsid w:val="00B047F4"/>
    <w:rsid w:val="00B25893"/>
    <w:rsid w:val="00B5306C"/>
    <w:rsid w:val="00B6638E"/>
    <w:rsid w:val="00B74BAF"/>
    <w:rsid w:val="00BB2A22"/>
    <w:rsid w:val="00BC14E9"/>
    <w:rsid w:val="00C060C8"/>
    <w:rsid w:val="00C20D58"/>
    <w:rsid w:val="00C308AD"/>
    <w:rsid w:val="00C33E7D"/>
    <w:rsid w:val="00C51A8D"/>
    <w:rsid w:val="00C8499E"/>
    <w:rsid w:val="00C84B6B"/>
    <w:rsid w:val="00CA253C"/>
    <w:rsid w:val="00CA66B6"/>
    <w:rsid w:val="00CF5D56"/>
    <w:rsid w:val="00D0588C"/>
    <w:rsid w:val="00D22935"/>
    <w:rsid w:val="00D268FE"/>
    <w:rsid w:val="00D60E74"/>
    <w:rsid w:val="00D6378D"/>
    <w:rsid w:val="00D72761"/>
    <w:rsid w:val="00D72DCC"/>
    <w:rsid w:val="00DB5221"/>
    <w:rsid w:val="00DB6194"/>
    <w:rsid w:val="00DD5B32"/>
    <w:rsid w:val="00EC79CC"/>
    <w:rsid w:val="00EF5F34"/>
    <w:rsid w:val="00F06FEC"/>
    <w:rsid w:val="00F22A14"/>
    <w:rsid w:val="00F253AD"/>
    <w:rsid w:val="00F263E8"/>
    <w:rsid w:val="00F967E3"/>
    <w:rsid w:val="00FA6DC8"/>
    <w:rsid w:val="00FB3B69"/>
    <w:rsid w:val="00FC4256"/>
    <w:rsid w:val="00FE0566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C55"/>
  <w15:chartTrackingRefBased/>
  <w15:docId w15:val="{C9905596-FC52-4B49-8690-205F72A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771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777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1B4"/>
    <w:pPr>
      <w:widowControl w:val="0"/>
      <w:shd w:val="clear" w:color="auto" w:fill="FFFFFF"/>
      <w:spacing w:after="860" w:line="24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alb">
    <w:name w:val="a_lb"/>
    <w:basedOn w:val="Domylnaczcionkaakapitu"/>
    <w:rsid w:val="00B5306C"/>
  </w:style>
  <w:style w:type="character" w:styleId="Odwoaniedokomentarza">
    <w:name w:val="annotation reference"/>
    <w:basedOn w:val="Domylnaczcionkaakapitu"/>
    <w:uiPriority w:val="99"/>
    <w:semiHidden/>
    <w:unhideWhenUsed/>
    <w:rsid w:val="00D22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9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6B6"/>
  </w:style>
  <w:style w:type="paragraph" w:styleId="Stopka">
    <w:name w:val="footer"/>
    <w:basedOn w:val="Normalny"/>
    <w:link w:val="StopkaZnak"/>
    <w:uiPriority w:val="99"/>
    <w:unhideWhenUsed/>
    <w:rsid w:val="00CA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8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pzd@pz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2019-03-01T08:31:00Z</cp:lastPrinted>
  <dcterms:created xsi:type="dcterms:W3CDTF">2019-03-01T14:55:00Z</dcterms:created>
  <dcterms:modified xsi:type="dcterms:W3CDTF">2019-03-01T14:55:00Z</dcterms:modified>
</cp:coreProperties>
</file>