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2" w:rsidRDefault="002D2EDD" w:rsidP="009760C5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Rodzinne ogrody działkowe w studiach i miejscowych planach </w:t>
      </w:r>
    </w:p>
    <w:p w:rsidR="002D2EDD" w:rsidRDefault="002D2EDD" w:rsidP="009760C5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wybranych miastach w Polsce.</w:t>
      </w:r>
    </w:p>
    <w:p w:rsidR="00E16FC1" w:rsidRPr="002D60F2" w:rsidRDefault="00E16FC1" w:rsidP="002D60F2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8B7DC8" w:rsidRDefault="003D0F68" w:rsidP="008B7DC8">
      <w:pPr>
        <w:spacing w:after="100" w:afterAutospacing="1" w:line="26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Wyrok Trybunału Konstytucyjnego z dnia 11 lipca 2012 r. otworzył dostęp do gruntów rodzinnych ogrodów działkowych i spowodował, </w:t>
      </w:r>
      <w:r w:rsidR="001F3F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iż zachodzi prawdopodobieństwo, że w perspektywie najbardziej narażone </w:t>
      </w:r>
      <w:r w:rsidR="001F3F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na likwidacje będą te ROD, które znajdują się w dużych </w:t>
      </w:r>
      <w:r w:rsidR="002D2EDD">
        <w:rPr>
          <w:rFonts w:ascii="Times New Roman" w:hAnsi="Times New Roman" w:cs="Times New Roman"/>
          <w:color w:val="000000" w:themeColor="text1"/>
          <w:sz w:val="28"/>
          <w:szCs w:val="28"/>
        </w:rPr>
        <w:t>miastach. Sprzyjać likwidacjom będzie również fakt nie ujęcia ogrodów działkowych w studiach i miejscowych planach zagospodarowania przestrzennego</w:t>
      </w:r>
      <w:r w:rsidR="002D6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3CA" w:rsidRDefault="002D2EDD" w:rsidP="008B7DC8">
      <w:pPr>
        <w:spacing w:after="100" w:afterAutospacing="1" w:line="26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Badaniem </w:t>
      </w:r>
      <w:r w:rsidR="002D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kwestii ujęcia terenów ogrodów w studiach uwarunkowań i kierunków zagospodarowania przestrzennego gmin i miejscowych planach zagospodarowania przestrzennego</w:t>
      </w:r>
      <w:r w:rsidR="004F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4A29">
        <w:rPr>
          <w:rFonts w:ascii="Times New Roman" w:hAnsi="Times New Roman" w:cs="Times New Roman"/>
          <w:color w:val="000000" w:themeColor="text1"/>
          <w:sz w:val="28"/>
          <w:szCs w:val="28"/>
        </w:rPr>
        <w:t>objęto 56 miast w Polsce.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miastach tych funkcjonuje 1747 rodzinnych  ogrodów działkowych, zajmujących powierzchnię ponad 15 585 ha, na której urządzonych jest 361 739 działek rodzinnych.</w:t>
      </w:r>
    </w:p>
    <w:p w:rsidR="002D60F2" w:rsidRPr="001E73CA" w:rsidRDefault="004F4A29" w:rsidP="008B7DC8">
      <w:pPr>
        <w:spacing w:after="100" w:afterAutospacing="1" w:line="26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Wykaz wszystkich miast objętych badaniem oraz występującą w nich sytuację prezentuje załączona do niniejszego materiału tabela. Wśród miast, które zostały między innymi objęte badaniem należy wymienić: Bydgoszcz, Częstochowę, Elbląg, Gdańsk, Gorzów Wielkopolski, Koszalin, Legnicę, Lublin, Kraków, Płock, Radom, Warszawę, Opole, Piłę, Rzeszów, Białystok, Poznań, Słupsk, Szcze</w:t>
      </w:r>
      <w:r w:rsidR="00180CCE">
        <w:rPr>
          <w:rFonts w:ascii="Times New Roman" w:hAnsi="Times New Roman" w:cs="Times New Roman"/>
          <w:color w:val="000000" w:themeColor="text1"/>
          <w:sz w:val="28"/>
          <w:szCs w:val="28"/>
        </w:rPr>
        <w:t>cin, Katowice, Kielce, Toruń, Włoc</w:t>
      </w:r>
      <w:r w:rsidR="009760C5">
        <w:rPr>
          <w:rFonts w:ascii="Times New Roman" w:hAnsi="Times New Roman" w:cs="Times New Roman"/>
          <w:color w:val="000000" w:themeColor="text1"/>
          <w:sz w:val="28"/>
          <w:szCs w:val="28"/>
        </w:rPr>
        <w:t>ławek, Olsztyn, Wrocław, Zieloną</w:t>
      </w:r>
      <w:r w:rsidR="0018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Górę.</w:t>
      </w:r>
    </w:p>
    <w:p w:rsidR="009760C5" w:rsidRPr="008B7DC8" w:rsidRDefault="007D65AD" w:rsidP="008B7DC8">
      <w:pPr>
        <w:spacing w:after="100" w:afterAutospacing="1" w:line="26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729">
        <w:rPr>
          <w:rFonts w:ascii="Times New Roman" w:hAnsi="Times New Roman" w:cs="Times New Roman"/>
          <w:sz w:val="28"/>
          <w:szCs w:val="28"/>
        </w:rPr>
        <w:t>Zgodnie z informacjami przekazanymi przez okręgowe zarządy PZD</w:t>
      </w:r>
      <w:r w:rsidR="006F475E" w:rsidRPr="00367729">
        <w:rPr>
          <w:rFonts w:ascii="Times New Roman" w:hAnsi="Times New Roman" w:cs="Times New Roman"/>
          <w:sz w:val="28"/>
          <w:szCs w:val="28"/>
        </w:rPr>
        <w:t xml:space="preserve">, łączna powierzchnia ROD ujęta w studiach wynosi </w:t>
      </w:r>
      <w:r w:rsidR="006F475E" w:rsidRPr="00367729">
        <w:rPr>
          <w:rFonts w:ascii="Times New Roman" w:hAnsi="Times New Roman" w:cs="Times New Roman"/>
          <w:b/>
          <w:sz w:val="28"/>
          <w:szCs w:val="28"/>
        </w:rPr>
        <w:t>6 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083</w:t>
      </w:r>
      <w:r w:rsidR="006F475E" w:rsidRPr="00367729">
        <w:rPr>
          <w:rFonts w:ascii="Times New Roman" w:hAnsi="Times New Roman" w:cs="Times New Roman"/>
          <w:b/>
          <w:sz w:val="28"/>
          <w:szCs w:val="28"/>
        </w:rPr>
        <w:t>,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4363</w:t>
      </w:r>
      <w:r w:rsidR="006F475E" w:rsidRPr="00367729">
        <w:rPr>
          <w:rFonts w:ascii="Times New Roman" w:hAnsi="Times New Roman" w:cs="Times New Roman"/>
          <w:b/>
          <w:sz w:val="28"/>
          <w:szCs w:val="28"/>
        </w:rPr>
        <w:t xml:space="preserve"> ha</w:t>
      </w:r>
      <w:r w:rsidR="006F475E" w:rsidRPr="00367729">
        <w:rPr>
          <w:rFonts w:ascii="Times New Roman" w:hAnsi="Times New Roman" w:cs="Times New Roman"/>
          <w:sz w:val="28"/>
          <w:szCs w:val="28"/>
        </w:rPr>
        <w:t xml:space="preserve">, </w:t>
      </w:r>
      <w:r w:rsidR="00113111" w:rsidRPr="00367729">
        <w:rPr>
          <w:rFonts w:ascii="Times New Roman" w:hAnsi="Times New Roman" w:cs="Times New Roman"/>
          <w:sz w:val="28"/>
          <w:szCs w:val="28"/>
        </w:rPr>
        <w:br/>
      </w:r>
      <w:r w:rsidR="006F475E" w:rsidRPr="00367729">
        <w:rPr>
          <w:rFonts w:ascii="Times New Roman" w:hAnsi="Times New Roman" w:cs="Times New Roman"/>
          <w:sz w:val="28"/>
          <w:szCs w:val="28"/>
        </w:rPr>
        <w:t xml:space="preserve">a w miejscowych planach </w:t>
      </w:r>
      <w:r w:rsidR="004A15E0" w:rsidRPr="00367729">
        <w:rPr>
          <w:rFonts w:ascii="Times New Roman" w:hAnsi="Times New Roman" w:cs="Times New Roman"/>
          <w:sz w:val="28"/>
          <w:szCs w:val="28"/>
        </w:rPr>
        <w:t xml:space="preserve">zagospodarowania przestrzennego </w:t>
      </w:r>
      <w:r w:rsidR="006F475E" w:rsidRPr="00367729">
        <w:rPr>
          <w:rFonts w:ascii="Times New Roman" w:hAnsi="Times New Roman" w:cs="Times New Roman"/>
          <w:sz w:val="28"/>
          <w:szCs w:val="28"/>
        </w:rPr>
        <w:t xml:space="preserve">– </w:t>
      </w:r>
      <w:r w:rsidR="006F475E" w:rsidRPr="00367729">
        <w:rPr>
          <w:rFonts w:ascii="Times New Roman" w:hAnsi="Times New Roman" w:cs="Times New Roman"/>
          <w:b/>
          <w:sz w:val="28"/>
          <w:szCs w:val="28"/>
        </w:rPr>
        <w:t>3 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778</w:t>
      </w:r>
      <w:r w:rsidR="006F475E" w:rsidRPr="00367729">
        <w:rPr>
          <w:rFonts w:ascii="Times New Roman" w:hAnsi="Times New Roman" w:cs="Times New Roman"/>
          <w:b/>
          <w:sz w:val="28"/>
          <w:szCs w:val="28"/>
        </w:rPr>
        <w:t>,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1700</w:t>
      </w:r>
      <w:r w:rsidR="006F475E" w:rsidRPr="00367729">
        <w:rPr>
          <w:rFonts w:ascii="Times New Roman" w:hAnsi="Times New Roman" w:cs="Times New Roman"/>
          <w:b/>
          <w:sz w:val="28"/>
          <w:szCs w:val="28"/>
        </w:rPr>
        <w:t xml:space="preserve"> ha</w:t>
      </w:r>
      <w:r w:rsidR="006F475E" w:rsidRPr="00367729">
        <w:rPr>
          <w:rFonts w:ascii="Times New Roman" w:hAnsi="Times New Roman" w:cs="Times New Roman"/>
          <w:sz w:val="28"/>
          <w:szCs w:val="28"/>
        </w:rPr>
        <w:t>.</w:t>
      </w:r>
      <w:r w:rsidR="00BD62F5" w:rsidRPr="00367729">
        <w:rPr>
          <w:rFonts w:ascii="Times New Roman" w:hAnsi="Times New Roman" w:cs="Times New Roman"/>
          <w:sz w:val="28"/>
          <w:szCs w:val="28"/>
        </w:rPr>
        <w:t xml:space="preserve"> Łącznie w studiach i miejscowych planach </w:t>
      </w:r>
      <w:r w:rsidR="004A15E0" w:rsidRPr="00367729">
        <w:rPr>
          <w:rFonts w:ascii="Times New Roman" w:hAnsi="Times New Roman" w:cs="Times New Roman"/>
          <w:sz w:val="28"/>
          <w:szCs w:val="28"/>
        </w:rPr>
        <w:t xml:space="preserve">zagospodarowania przestrzennego </w:t>
      </w:r>
      <w:r w:rsidR="00BD62F5" w:rsidRPr="00367729">
        <w:rPr>
          <w:rFonts w:ascii="Times New Roman" w:hAnsi="Times New Roman" w:cs="Times New Roman"/>
          <w:sz w:val="28"/>
          <w:szCs w:val="28"/>
        </w:rPr>
        <w:t>ujętych jest</w:t>
      </w:r>
      <w:r w:rsidR="009760C5" w:rsidRPr="00367729">
        <w:rPr>
          <w:rFonts w:ascii="Times New Roman" w:hAnsi="Times New Roman" w:cs="Times New Roman"/>
          <w:sz w:val="28"/>
          <w:szCs w:val="28"/>
        </w:rPr>
        <w:t xml:space="preserve"> </w:t>
      </w:r>
      <w:r w:rsidR="00BD62F5" w:rsidRPr="00367729">
        <w:rPr>
          <w:rFonts w:ascii="Times New Roman" w:hAnsi="Times New Roman" w:cs="Times New Roman"/>
          <w:sz w:val="28"/>
          <w:szCs w:val="28"/>
        </w:rPr>
        <w:t xml:space="preserve"> </w:t>
      </w:r>
      <w:r w:rsidR="00BD62F5" w:rsidRPr="00367729">
        <w:rPr>
          <w:rFonts w:ascii="Times New Roman" w:hAnsi="Times New Roman" w:cs="Times New Roman"/>
          <w:b/>
          <w:sz w:val="28"/>
          <w:szCs w:val="28"/>
        </w:rPr>
        <w:t>9 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861</w:t>
      </w:r>
      <w:r w:rsidR="00BD62F5" w:rsidRPr="00367729">
        <w:rPr>
          <w:rFonts w:ascii="Times New Roman" w:hAnsi="Times New Roman" w:cs="Times New Roman"/>
          <w:b/>
          <w:sz w:val="28"/>
          <w:szCs w:val="28"/>
        </w:rPr>
        <w:t>,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6063</w:t>
      </w:r>
      <w:r w:rsidR="00BD62F5" w:rsidRPr="00367729">
        <w:rPr>
          <w:rFonts w:ascii="Times New Roman" w:hAnsi="Times New Roman" w:cs="Times New Roman"/>
          <w:b/>
          <w:sz w:val="28"/>
          <w:szCs w:val="28"/>
        </w:rPr>
        <w:t xml:space="preserve"> ha ROD</w:t>
      </w:r>
      <w:r w:rsidR="00BD62F5" w:rsidRPr="00367729">
        <w:rPr>
          <w:rFonts w:ascii="Times New Roman" w:hAnsi="Times New Roman" w:cs="Times New Roman"/>
          <w:sz w:val="28"/>
          <w:szCs w:val="28"/>
        </w:rPr>
        <w:t>, co</w:t>
      </w:r>
      <w:r w:rsidR="009760C5" w:rsidRPr="00367729">
        <w:rPr>
          <w:rFonts w:ascii="Times New Roman" w:hAnsi="Times New Roman" w:cs="Times New Roman"/>
          <w:sz w:val="28"/>
          <w:szCs w:val="28"/>
        </w:rPr>
        <w:t xml:space="preserve"> stanowi 63,</w:t>
      </w:r>
      <w:r w:rsidR="002D60F2" w:rsidRPr="00367729">
        <w:rPr>
          <w:rFonts w:ascii="Times New Roman" w:hAnsi="Times New Roman" w:cs="Times New Roman"/>
          <w:sz w:val="28"/>
          <w:szCs w:val="28"/>
        </w:rPr>
        <w:t>2</w:t>
      </w:r>
      <w:r w:rsidR="009760C5" w:rsidRPr="00367729">
        <w:rPr>
          <w:rFonts w:ascii="Times New Roman" w:hAnsi="Times New Roman" w:cs="Times New Roman"/>
          <w:sz w:val="28"/>
          <w:szCs w:val="28"/>
        </w:rPr>
        <w:t>7 % ogółu powierzchni ROD.</w:t>
      </w:r>
      <w:r w:rsidR="00BD62F5" w:rsidRPr="0036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C5" w:rsidRPr="008B7DC8" w:rsidRDefault="00F06469" w:rsidP="008B7DC8">
      <w:pPr>
        <w:spacing w:after="100" w:afterAutospacing="1" w:line="26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729">
        <w:rPr>
          <w:rFonts w:ascii="Times New Roman" w:hAnsi="Times New Roman" w:cs="Times New Roman"/>
          <w:sz w:val="28"/>
          <w:szCs w:val="28"/>
        </w:rPr>
        <w:t xml:space="preserve">Natomiast łączna powierzchnia ROD nie ujęta w studiach i miejscowych planach </w:t>
      </w:r>
      <w:r w:rsidR="00113111" w:rsidRPr="00367729">
        <w:rPr>
          <w:rFonts w:ascii="Times New Roman" w:hAnsi="Times New Roman" w:cs="Times New Roman"/>
          <w:sz w:val="28"/>
          <w:szCs w:val="28"/>
        </w:rPr>
        <w:t xml:space="preserve">zagospodarowania przestrzennego </w:t>
      </w:r>
      <w:r w:rsidRPr="00367729">
        <w:rPr>
          <w:rFonts w:ascii="Times New Roman" w:hAnsi="Times New Roman" w:cs="Times New Roman"/>
          <w:sz w:val="28"/>
          <w:szCs w:val="28"/>
        </w:rPr>
        <w:t xml:space="preserve">wynosi 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5</w:t>
      </w:r>
      <w:r w:rsidRPr="00367729">
        <w:rPr>
          <w:rFonts w:ascii="Times New Roman" w:hAnsi="Times New Roman" w:cs="Times New Roman"/>
          <w:b/>
          <w:sz w:val="28"/>
          <w:szCs w:val="28"/>
        </w:rPr>
        <w:t> 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724</w:t>
      </w:r>
      <w:r w:rsidRPr="00367729">
        <w:rPr>
          <w:rFonts w:ascii="Times New Roman" w:hAnsi="Times New Roman" w:cs="Times New Roman"/>
          <w:b/>
          <w:sz w:val="28"/>
          <w:szCs w:val="28"/>
        </w:rPr>
        <w:t>,</w:t>
      </w:r>
      <w:r w:rsidR="00C12977" w:rsidRPr="00367729">
        <w:rPr>
          <w:rFonts w:ascii="Times New Roman" w:hAnsi="Times New Roman" w:cs="Times New Roman"/>
          <w:b/>
          <w:sz w:val="28"/>
          <w:szCs w:val="28"/>
        </w:rPr>
        <w:t>3501</w:t>
      </w:r>
      <w:r w:rsidRPr="00367729">
        <w:rPr>
          <w:rFonts w:ascii="Times New Roman" w:hAnsi="Times New Roman" w:cs="Times New Roman"/>
          <w:b/>
          <w:sz w:val="28"/>
          <w:szCs w:val="28"/>
        </w:rPr>
        <w:t xml:space="preserve"> ha</w:t>
      </w:r>
      <w:r w:rsidRPr="00367729">
        <w:rPr>
          <w:rFonts w:ascii="Times New Roman" w:hAnsi="Times New Roman" w:cs="Times New Roman"/>
          <w:sz w:val="28"/>
          <w:szCs w:val="28"/>
        </w:rPr>
        <w:t xml:space="preserve">, </w:t>
      </w:r>
      <w:r w:rsidR="00113111" w:rsidRPr="003677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 </w:t>
      </w:r>
      <w:r w:rsidR="0097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stanowi 36,73 % ogółu ROD.</w:t>
      </w:r>
    </w:p>
    <w:p w:rsidR="00A3534B" w:rsidRPr="008B7DC8" w:rsidRDefault="001E73CA" w:rsidP="008B7DC8">
      <w:pPr>
        <w:spacing w:after="100" w:afterAutospacing="1" w:line="266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Miasta, w których </w:t>
      </w:r>
      <w:r w:rsidR="007C2A5A" w:rsidRPr="007C2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ROD ujęte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zostały w 100 %</w:t>
      </w:r>
      <w:r w:rsidR="007C2A5A" w:rsidRPr="007C2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studiach i miejscowych planach zagospodarowania przestrzennego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B7DC8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383704" w:rsidRPr="00A3534B">
        <w:rPr>
          <w:rFonts w:ascii="Times New Roman" w:hAnsi="Times New Roman" w:cs="Times New Roman"/>
          <w:b/>
          <w:sz w:val="28"/>
          <w:szCs w:val="28"/>
        </w:rPr>
        <w:t>Bydgoszcz</w:t>
      </w:r>
      <w:r w:rsidR="00A3534B" w:rsidRPr="00A3534B">
        <w:rPr>
          <w:rFonts w:ascii="Times New Roman" w:hAnsi="Times New Roman" w:cs="Times New Roman"/>
          <w:sz w:val="28"/>
          <w:szCs w:val="28"/>
        </w:rPr>
        <w:t>,</w:t>
      </w:r>
      <w:r w:rsidR="00383704" w:rsidRPr="00A3534B">
        <w:rPr>
          <w:rFonts w:ascii="Times New Roman" w:hAnsi="Times New Roman" w:cs="Times New Roman"/>
          <w:sz w:val="28"/>
          <w:szCs w:val="28"/>
        </w:rPr>
        <w:t xml:space="preserve"> </w:t>
      </w:r>
      <w:r w:rsidR="00383704" w:rsidRPr="00A3534B">
        <w:rPr>
          <w:rFonts w:ascii="Times New Roman" w:hAnsi="Times New Roman" w:cs="Times New Roman"/>
          <w:b/>
          <w:sz w:val="28"/>
          <w:szCs w:val="28"/>
        </w:rPr>
        <w:t>Inowrocław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,</w:t>
      </w:r>
      <w:r w:rsidR="00383704" w:rsidRPr="00A3534B">
        <w:rPr>
          <w:rFonts w:ascii="Times New Roman" w:hAnsi="Times New Roman" w:cs="Times New Roman"/>
          <w:sz w:val="28"/>
          <w:szCs w:val="28"/>
        </w:rPr>
        <w:t xml:space="preserve"> 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Chojnice,</w:t>
      </w:r>
      <w:r w:rsidR="009760C5" w:rsidRPr="00A3534B">
        <w:rPr>
          <w:rFonts w:ascii="Times New Roman" w:hAnsi="Times New Roman" w:cs="Times New Roman"/>
          <w:sz w:val="28"/>
          <w:szCs w:val="28"/>
        </w:rPr>
        <w:t xml:space="preserve"> 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Tczew,</w:t>
      </w:r>
      <w:r w:rsidR="009760C5" w:rsidRPr="00A3534B">
        <w:rPr>
          <w:rFonts w:ascii="Times New Roman" w:hAnsi="Times New Roman" w:cs="Times New Roman"/>
          <w:sz w:val="28"/>
          <w:szCs w:val="28"/>
        </w:rPr>
        <w:t xml:space="preserve"> 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Płock, Opole</w:t>
      </w:r>
      <w:r w:rsidR="002D60F2">
        <w:rPr>
          <w:rFonts w:ascii="Times New Roman" w:hAnsi="Times New Roman" w:cs="Times New Roman"/>
          <w:b/>
          <w:sz w:val="28"/>
          <w:szCs w:val="28"/>
        </w:rPr>
        <w:t>,</w:t>
      </w:r>
      <w:r w:rsidR="009760C5" w:rsidRPr="00A3534B">
        <w:rPr>
          <w:rFonts w:ascii="Times New Roman" w:hAnsi="Times New Roman" w:cs="Times New Roman"/>
          <w:sz w:val="28"/>
          <w:szCs w:val="28"/>
        </w:rPr>
        <w:t xml:space="preserve"> 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Chodzież</w:t>
      </w:r>
      <w:r w:rsidR="002D60F2">
        <w:rPr>
          <w:rFonts w:ascii="Times New Roman" w:hAnsi="Times New Roman" w:cs="Times New Roman"/>
          <w:b/>
          <w:sz w:val="28"/>
          <w:szCs w:val="28"/>
        </w:rPr>
        <w:t>,</w:t>
      </w:r>
      <w:r w:rsidR="00383704" w:rsidRPr="00A3534B">
        <w:rPr>
          <w:rFonts w:ascii="Times New Roman" w:hAnsi="Times New Roman" w:cs="Times New Roman"/>
          <w:sz w:val="28"/>
          <w:szCs w:val="28"/>
        </w:rPr>
        <w:t xml:space="preserve"> 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Piła, Września, Rybnik, Sosnowiec,</w:t>
      </w:r>
      <w:r w:rsidR="009760C5" w:rsidRPr="00A3534B">
        <w:rPr>
          <w:rFonts w:ascii="Times New Roman" w:hAnsi="Times New Roman" w:cs="Times New Roman"/>
          <w:sz w:val="28"/>
          <w:szCs w:val="28"/>
        </w:rPr>
        <w:t xml:space="preserve"> 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Końskie,</w:t>
      </w:r>
      <w:r w:rsidR="002D6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>Włocławek</w:t>
      </w:r>
      <w:r w:rsidR="002D60F2">
        <w:rPr>
          <w:rFonts w:ascii="Times New Roman" w:hAnsi="Times New Roman" w:cs="Times New Roman"/>
          <w:b/>
          <w:sz w:val="28"/>
          <w:szCs w:val="28"/>
        </w:rPr>
        <w:t>,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 xml:space="preserve"> Krosno Odrzańskie, Nowa Sól</w:t>
      </w:r>
      <w:r w:rsidR="009760C5" w:rsidRPr="00A3534B">
        <w:rPr>
          <w:rFonts w:ascii="Times New Roman" w:hAnsi="Times New Roman" w:cs="Times New Roman"/>
          <w:sz w:val="28"/>
          <w:szCs w:val="28"/>
        </w:rPr>
        <w:t>,</w:t>
      </w:r>
      <w:r w:rsidR="009760C5" w:rsidRPr="00A3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4B" w:rsidRPr="00A3534B">
        <w:rPr>
          <w:rFonts w:ascii="Times New Roman" w:hAnsi="Times New Roman" w:cs="Times New Roman"/>
          <w:b/>
          <w:sz w:val="28"/>
          <w:szCs w:val="28"/>
        </w:rPr>
        <w:t>Świebodzin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534B" w:rsidRPr="0098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3CA" w:rsidRPr="001E73CA" w:rsidRDefault="001E73CA" w:rsidP="008B7DC8">
      <w:pPr>
        <w:spacing w:after="100" w:afterAutospacing="1" w:line="26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E73CA">
        <w:rPr>
          <w:rFonts w:ascii="Times New Roman" w:hAnsi="Times New Roman" w:cs="Times New Roman"/>
          <w:color w:val="000000" w:themeColor="text1"/>
          <w:sz w:val="28"/>
          <w:szCs w:val="28"/>
        </w:rPr>
        <w:t>Miasta, w których ROD ujęte zostały w powyżej 90 % w studiach i miejscowych planach zagospodarowania przestrzennego:</w:t>
      </w:r>
    </w:p>
    <w:p w:rsidR="007C2A5A" w:rsidRPr="008B7DC8" w:rsidRDefault="00A3534B" w:rsidP="008B7DC8">
      <w:pPr>
        <w:spacing w:after="100" w:afterAutospacing="1" w:line="26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Elbląg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, Kalisz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Częstochow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Legnic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Bolesław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iec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Piotrk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ów Trybunalski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Rzesz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ów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Biały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stok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Poznań</w:t>
      </w:r>
      <w:r w:rsidR="002D6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Biel</w:t>
      </w:r>
      <w:r w:rsidR="002D60F2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-Biał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Chorz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ów, Zabrze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Ostrow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iec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Świętokrzyski, Kielc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Toru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Działdow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o, Ełk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Gi</w:t>
      </w:r>
      <w:r w:rsidR="002D60F2">
        <w:rPr>
          <w:rFonts w:ascii="Times New Roman" w:hAnsi="Times New Roman" w:cs="Times New Roman"/>
          <w:color w:val="000000" w:themeColor="text1"/>
          <w:sz w:val="28"/>
          <w:szCs w:val="28"/>
        </w:rPr>
        <w:t>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yck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Ostród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Żar</w:t>
      </w:r>
      <w:r w:rsidR="001E73CA">
        <w:rPr>
          <w:rFonts w:ascii="Times New Roman" w:hAnsi="Times New Roman" w:cs="Times New Roman"/>
          <w:color w:val="000000" w:themeColor="text1"/>
          <w:sz w:val="28"/>
          <w:szCs w:val="28"/>
        </w:rPr>
        <w:t>y.</w:t>
      </w:r>
    </w:p>
    <w:p w:rsidR="00A3534B" w:rsidRDefault="00383704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Najwięcej terenów</w:t>
      </w:r>
      <w:r w:rsidR="004A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ROD</w:t>
      </w:r>
      <w:r w:rsidRPr="00984F00">
        <w:rPr>
          <w:rFonts w:ascii="Times New Roman" w:hAnsi="Times New Roman" w:cs="Times New Roman"/>
          <w:color w:val="000000" w:themeColor="text1"/>
          <w:sz w:val="28"/>
          <w:szCs w:val="28"/>
        </w:rPr>
        <w:t>, któr</w:t>
      </w:r>
      <w:r w:rsidR="004A15E0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98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5E0">
        <w:rPr>
          <w:rFonts w:ascii="Times New Roman" w:hAnsi="Times New Roman" w:cs="Times New Roman"/>
          <w:color w:val="000000" w:themeColor="text1"/>
          <w:sz w:val="28"/>
          <w:szCs w:val="28"/>
        </w:rPr>
        <w:t>nie</w:t>
      </w:r>
      <w:r w:rsidR="00A35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zostały </w:t>
      </w:r>
      <w:r w:rsidR="004A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ujęte w studiach </w:t>
      </w:r>
      <w:r w:rsidR="004A15E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</w:t>
      </w:r>
      <w:r w:rsidRPr="0098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miejscowych plan</w:t>
      </w:r>
      <w:r w:rsidR="004A15E0">
        <w:rPr>
          <w:rFonts w:ascii="Times New Roman" w:hAnsi="Times New Roman" w:cs="Times New Roman"/>
          <w:color w:val="000000" w:themeColor="text1"/>
          <w:sz w:val="28"/>
          <w:szCs w:val="28"/>
        </w:rPr>
        <w:t>ach</w:t>
      </w:r>
      <w:r w:rsidRPr="0098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zagospodarowania przestrzennego, znajduj</w:t>
      </w:r>
      <w:r w:rsidR="0011311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98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się </w:t>
      </w:r>
      <w:r w:rsidR="00A3534B">
        <w:rPr>
          <w:rFonts w:ascii="Times New Roman" w:hAnsi="Times New Roman" w:cs="Times New Roman"/>
          <w:color w:val="000000" w:themeColor="text1"/>
          <w:sz w:val="28"/>
          <w:szCs w:val="28"/>
        </w:rPr>
        <w:t>w:</w:t>
      </w:r>
    </w:p>
    <w:p w:rsidR="00A3534B" w:rsidRPr="0015618D" w:rsidRDefault="00A3534B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w Katowicach 100% powierzchni</w:t>
      </w:r>
      <w:r w:rsidR="00627B42"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ROD brak w studiach i planach,</w:t>
      </w:r>
    </w:p>
    <w:p w:rsidR="00A3534B" w:rsidRPr="0015618D" w:rsidRDefault="00A3534B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w Warszawie 98,75%</w:t>
      </w:r>
      <w:r w:rsidR="00627B42"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powierzchni ROD brak w studiach i planach,</w:t>
      </w:r>
    </w:p>
    <w:p w:rsidR="00627B42" w:rsidRPr="0015618D" w:rsidRDefault="00627B42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-w Krakowie 93,8</w:t>
      </w:r>
      <w:r w:rsidR="002D6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 powierzchni ROD brak w studiach i planach,</w:t>
      </w:r>
    </w:p>
    <w:p w:rsidR="00627B42" w:rsidRPr="0015618D" w:rsidRDefault="00627B42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-we Wrocławiu 87,59% powierzchni ROD brak w studiach i planach,</w:t>
      </w:r>
    </w:p>
    <w:p w:rsidR="00627B42" w:rsidRPr="0015618D" w:rsidRDefault="00627B42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-w Lublinie 77,30% powierzchni ROD brak w studiach i planach,</w:t>
      </w:r>
    </w:p>
    <w:p w:rsidR="008F43AD" w:rsidRDefault="002D60F2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w Gdańsku w 72,7</w:t>
      </w:r>
      <w:r w:rsidR="00627B42" w:rsidRP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0% powierzchni ROD brak w studiach i planach</w:t>
      </w:r>
      <w:r w:rsidR="00156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5559" w:rsidRDefault="00FE5559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OCENA I WNIOSKI</w:t>
      </w:r>
    </w:p>
    <w:p w:rsidR="00EA11AA" w:rsidRDefault="00850A0A" w:rsidP="00BA5ADB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Przedmiotowe badanie zostało przeprowadzone, w celu </w:t>
      </w:r>
      <w:r w:rsidR="00EA11AA">
        <w:rPr>
          <w:rFonts w:ascii="Times New Roman" w:hAnsi="Times New Roman" w:cs="Times New Roman"/>
          <w:color w:val="000000" w:themeColor="text1"/>
          <w:sz w:val="28"/>
          <w:szCs w:val="28"/>
        </w:rPr>
        <w:t>sprawdzenia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ile rodzinnych ogrodów działkowych położonych w dużych miastach na terenie Polski jest zagrożonych potencjalną likwidacją</w:t>
      </w:r>
      <w:r w:rsidR="00EA11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związku z brakiem przeznaczenia w miejscowym planie zagospodarowania przestrzennego lub w </w:t>
      </w:r>
      <w:r>
        <w:rPr>
          <w:rFonts w:ascii="Times New Roman" w:hAnsi="Times New Roman" w:cs="Times New Roman"/>
          <w:sz w:val="28"/>
          <w:szCs w:val="28"/>
        </w:rPr>
        <w:t xml:space="preserve">studiach uwarunkowań i kierunków zagospodarowania przestrzennego gruntów ROD na inne cele niż </w:t>
      </w:r>
      <w:r w:rsidR="00BA5ADB">
        <w:rPr>
          <w:rFonts w:ascii="Times New Roman" w:hAnsi="Times New Roman" w:cs="Times New Roman"/>
          <w:sz w:val="28"/>
          <w:szCs w:val="28"/>
        </w:rPr>
        <w:t>zieleń działkowa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11AA">
        <w:rPr>
          <w:rFonts w:ascii="Times New Roman" w:hAnsi="Times New Roman" w:cs="Times New Roman"/>
          <w:sz w:val="28"/>
          <w:szCs w:val="28"/>
        </w:rPr>
        <w:t xml:space="preserve"> Temat ten po wyroku Trybunału Konstytucyjnego jest niezmiernie istotny. Uznanie większości przepisów ustawy o ROD za</w:t>
      </w:r>
      <w:r w:rsidR="000F1B9C">
        <w:rPr>
          <w:rFonts w:ascii="Times New Roman" w:hAnsi="Times New Roman" w:cs="Times New Roman"/>
          <w:sz w:val="28"/>
          <w:szCs w:val="28"/>
        </w:rPr>
        <w:t xml:space="preserve"> niekonstytucyjne spowodowało</w:t>
      </w:r>
      <w:r w:rsidR="00EA11AA">
        <w:rPr>
          <w:rFonts w:ascii="Times New Roman" w:hAnsi="Times New Roman" w:cs="Times New Roman"/>
          <w:sz w:val="28"/>
          <w:szCs w:val="28"/>
        </w:rPr>
        <w:t>, iż za kilkanaście</w:t>
      </w:r>
      <w:r w:rsidR="00556818">
        <w:rPr>
          <w:rFonts w:ascii="Times New Roman" w:hAnsi="Times New Roman" w:cs="Times New Roman"/>
          <w:sz w:val="28"/>
          <w:szCs w:val="28"/>
        </w:rPr>
        <w:t xml:space="preserve"> miesięcy przeprowadzenie likwidacji ogrodu działkowego będzie dużo łatwiejsze. Związek doskonale zdaje sobie sprawę, iż w pierwszej kolejności ucierpią na tym rodzinne ogrody działkowe położone w dużych miastach</w:t>
      </w:r>
      <w:r w:rsidR="00193338">
        <w:rPr>
          <w:rFonts w:ascii="Times New Roman" w:hAnsi="Times New Roman" w:cs="Times New Roman"/>
          <w:sz w:val="28"/>
          <w:szCs w:val="28"/>
        </w:rPr>
        <w:t>, nie ujęte w planach i studiach</w:t>
      </w:r>
      <w:r w:rsidR="00556818">
        <w:rPr>
          <w:rFonts w:ascii="Times New Roman" w:hAnsi="Times New Roman" w:cs="Times New Roman"/>
          <w:sz w:val="28"/>
          <w:szCs w:val="28"/>
        </w:rPr>
        <w:t xml:space="preserve">, gdzie grunty są nie tylko bardzo cenne ale i </w:t>
      </w:r>
      <w:r w:rsidR="004238B5">
        <w:rPr>
          <w:rFonts w:ascii="Times New Roman" w:hAnsi="Times New Roman" w:cs="Times New Roman"/>
          <w:sz w:val="28"/>
          <w:szCs w:val="28"/>
        </w:rPr>
        <w:t xml:space="preserve">niezmiernie </w:t>
      </w:r>
      <w:r w:rsidR="00556818">
        <w:rPr>
          <w:rFonts w:ascii="Times New Roman" w:hAnsi="Times New Roman" w:cs="Times New Roman"/>
          <w:sz w:val="28"/>
          <w:szCs w:val="28"/>
        </w:rPr>
        <w:t>pożądane przez inwestorów i deweloperów.</w:t>
      </w:r>
      <w:r w:rsidR="009C1394">
        <w:rPr>
          <w:rFonts w:ascii="Times New Roman" w:hAnsi="Times New Roman" w:cs="Times New Roman"/>
          <w:sz w:val="28"/>
          <w:szCs w:val="28"/>
        </w:rPr>
        <w:t xml:space="preserve"> Na taki wyrok Trybunału Konstytucyjnego tylko czeka</w:t>
      </w:r>
      <w:r w:rsidR="00D007CF">
        <w:rPr>
          <w:rFonts w:ascii="Times New Roman" w:hAnsi="Times New Roman" w:cs="Times New Roman"/>
          <w:sz w:val="28"/>
          <w:szCs w:val="28"/>
        </w:rPr>
        <w:t>ło większość</w:t>
      </w:r>
      <w:r w:rsidR="009C1394">
        <w:rPr>
          <w:rFonts w:ascii="Times New Roman" w:hAnsi="Times New Roman" w:cs="Times New Roman"/>
          <w:sz w:val="28"/>
          <w:szCs w:val="28"/>
        </w:rPr>
        <w:t xml:space="preserve"> prezyde</w:t>
      </w:r>
      <w:r w:rsidR="00D007CF">
        <w:rPr>
          <w:rFonts w:ascii="Times New Roman" w:hAnsi="Times New Roman" w:cs="Times New Roman"/>
          <w:sz w:val="28"/>
          <w:szCs w:val="28"/>
        </w:rPr>
        <w:t>ntów</w:t>
      </w:r>
      <w:r w:rsidR="009C1394">
        <w:rPr>
          <w:rFonts w:ascii="Times New Roman" w:hAnsi="Times New Roman" w:cs="Times New Roman"/>
          <w:sz w:val="28"/>
          <w:szCs w:val="28"/>
        </w:rPr>
        <w:t xml:space="preserve"> miast i gmin.</w:t>
      </w:r>
      <w:r w:rsidR="00D007CF">
        <w:rPr>
          <w:rFonts w:ascii="Times New Roman" w:hAnsi="Times New Roman" w:cs="Times New Roman"/>
          <w:sz w:val="28"/>
          <w:szCs w:val="28"/>
        </w:rPr>
        <w:t xml:space="preserve"> To orzeczenie -  w ich oczach -  jest „uwolnieniem” gruntów od ogrodów działkowych, które nie przynoszą w ich mniemaniu żadnych korzyści, a tylko blokują możliwość przeprowadzenia innych, cenniejszych dla miast inwestycji. </w:t>
      </w:r>
      <w:r w:rsidR="009C1394">
        <w:rPr>
          <w:rFonts w:ascii="Times New Roman" w:hAnsi="Times New Roman" w:cs="Times New Roman"/>
          <w:sz w:val="28"/>
          <w:szCs w:val="28"/>
        </w:rPr>
        <w:t>Już niedługo będą oni mogli przystąpić</w:t>
      </w:r>
      <w:r w:rsidR="00D007CF">
        <w:rPr>
          <w:rFonts w:ascii="Times New Roman" w:hAnsi="Times New Roman" w:cs="Times New Roman"/>
          <w:sz w:val="28"/>
          <w:szCs w:val="28"/>
        </w:rPr>
        <w:t xml:space="preserve"> do </w:t>
      </w:r>
      <w:r w:rsidR="009C1394">
        <w:rPr>
          <w:rFonts w:ascii="Times New Roman" w:hAnsi="Times New Roman" w:cs="Times New Roman"/>
          <w:sz w:val="28"/>
          <w:szCs w:val="28"/>
        </w:rPr>
        <w:t>sprzedaży</w:t>
      </w:r>
      <w:r w:rsidR="00495402">
        <w:rPr>
          <w:rFonts w:ascii="Times New Roman" w:hAnsi="Times New Roman" w:cs="Times New Roman"/>
          <w:sz w:val="28"/>
          <w:szCs w:val="28"/>
        </w:rPr>
        <w:t xml:space="preserve"> tych gruntów</w:t>
      </w:r>
      <w:r w:rsidR="00D007CF">
        <w:rPr>
          <w:rFonts w:ascii="Times New Roman" w:hAnsi="Times New Roman" w:cs="Times New Roman"/>
          <w:sz w:val="28"/>
          <w:szCs w:val="28"/>
        </w:rPr>
        <w:t xml:space="preserve">, </w:t>
      </w:r>
      <w:r w:rsidR="009C1394">
        <w:rPr>
          <w:rFonts w:ascii="Times New Roman" w:hAnsi="Times New Roman" w:cs="Times New Roman"/>
          <w:sz w:val="28"/>
          <w:szCs w:val="28"/>
        </w:rPr>
        <w:t>na rzecz majętnych przedsiębiorców, co przyniesie im znaczne środki finansowe</w:t>
      </w:r>
      <w:r w:rsidR="00D007CF">
        <w:rPr>
          <w:rFonts w:ascii="Times New Roman" w:hAnsi="Times New Roman" w:cs="Times New Roman"/>
          <w:sz w:val="28"/>
          <w:szCs w:val="28"/>
        </w:rPr>
        <w:t>, bez konieczności brania pod uwagę zdania działkowców – w większości ludzi biednych, emerytów, rencistów i młodych ludzi na dorobku oraz Związku.</w:t>
      </w:r>
      <w:r w:rsidR="009C1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338" w:rsidRDefault="00850A0A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Aktualna sytuacja w tych miastach jest </w:t>
      </w:r>
      <w:r w:rsidR="004238B5">
        <w:rPr>
          <w:rFonts w:ascii="Times New Roman" w:hAnsi="Times New Roman" w:cs="Times New Roman"/>
          <w:sz w:val="28"/>
          <w:szCs w:val="28"/>
        </w:rPr>
        <w:t>bardzo</w:t>
      </w:r>
      <w:r>
        <w:rPr>
          <w:rFonts w:ascii="Times New Roman" w:hAnsi="Times New Roman" w:cs="Times New Roman"/>
          <w:sz w:val="28"/>
          <w:szCs w:val="28"/>
        </w:rPr>
        <w:t xml:space="preserve"> trudna. Zbadaliśmy 56 miast, w których znajduje się 1 747 rodzinnych ogrodów dzi</w:t>
      </w:r>
      <w:r w:rsidR="004238B5">
        <w:rPr>
          <w:rFonts w:ascii="Times New Roman" w:hAnsi="Times New Roman" w:cs="Times New Roman"/>
          <w:sz w:val="28"/>
          <w:szCs w:val="28"/>
        </w:rPr>
        <w:t>ałkowych. Wyniki są niepokojące. T</w:t>
      </w:r>
      <w:r>
        <w:rPr>
          <w:rFonts w:ascii="Times New Roman" w:hAnsi="Times New Roman" w:cs="Times New Roman"/>
          <w:sz w:val="28"/>
          <w:szCs w:val="28"/>
        </w:rPr>
        <w:t xml:space="preserve">ylko 63,27 % ogółu powierzchni ROD </w:t>
      </w:r>
      <w:r w:rsidR="004238B5">
        <w:rPr>
          <w:rFonts w:ascii="Times New Roman" w:hAnsi="Times New Roman" w:cs="Times New Roman"/>
          <w:sz w:val="28"/>
          <w:szCs w:val="28"/>
        </w:rPr>
        <w:t>przeznaczonych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8B5">
        <w:rPr>
          <w:rFonts w:ascii="Times New Roman" w:hAnsi="Times New Roman" w:cs="Times New Roman"/>
          <w:sz w:val="28"/>
          <w:szCs w:val="28"/>
        </w:rPr>
        <w:t>jest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miejscowym planie bądź w studium</w:t>
      </w:r>
      <w:r w:rsidR="004238B5">
        <w:rPr>
          <w:rFonts w:ascii="Times New Roman" w:hAnsi="Times New Roman" w:cs="Times New Roman"/>
          <w:sz w:val="28"/>
          <w:szCs w:val="28"/>
        </w:rPr>
        <w:t xml:space="preserve"> na zieleń działkową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706">
        <w:rPr>
          <w:rFonts w:ascii="Times New Roman" w:hAnsi="Times New Roman" w:cs="Times New Roman"/>
          <w:sz w:val="28"/>
          <w:szCs w:val="28"/>
        </w:rPr>
        <w:t xml:space="preserve"> Oznacza to, iż potencjalną likwidacją zagrożonych jest ponad </w:t>
      </w:r>
      <w:r w:rsidR="00193338">
        <w:rPr>
          <w:rFonts w:ascii="Times New Roman" w:hAnsi="Times New Roman" w:cs="Times New Roman"/>
          <w:sz w:val="28"/>
          <w:szCs w:val="28"/>
        </w:rPr>
        <w:t>600</w:t>
      </w:r>
      <w:r w:rsidR="00823706">
        <w:rPr>
          <w:rFonts w:ascii="Times New Roman" w:hAnsi="Times New Roman" w:cs="Times New Roman"/>
          <w:sz w:val="28"/>
          <w:szCs w:val="28"/>
        </w:rPr>
        <w:t xml:space="preserve"> rodzinnych ogrodów działkowych i mówimy tu tylko o ogrodach w </w:t>
      </w:r>
      <w:r w:rsidR="00193338">
        <w:rPr>
          <w:rFonts w:ascii="Times New Roman" w:hAnsi="Times New Roman" w:cs="Times New Roman"/>
          <w:sz w:val="28"/>
          <w:szCs w:val="28"/>
        </w:rPr>
        <w:t>56</w:t>
      </w:r>
      <w:r w:rsidR="00823706">
        <w:rPr>
          <w:rFonts w:ascii="Times New Roman" w:hAnsi="Times New Roman" w:cs="Times New Roman"/>
          <w:sz w:val="28"/>
          <w:szCs w:val="28"/>
        </w:rPr>
        <w:t xml:space="preserve"> miastach</w:t>
      </w:r>
      <w:r w:rsidR="00193338">
        <w:rPr>
          <w:rFonts w:ascii="Times New Roman" w:hAnsi="Times New Roman" w:cs="Times New Roman"/>
          <w:sz w:val="28"/>
          <w:szCs w:val="28"/>
        </w:rPr>
        <w:t>, które zostały przebadane</w:t>
      </w:r>
      <w:r w:rsidR="00685CF7">
        <w:rPr>
          <w:rFonts w:ascii="Times New Roman" w:hAnsi="Times New Roman" w:cs="Times New Roman"/>
          <w:sz w:val="28"/>
          <w:szCs w:val="28"/>
        </w:rPr>
        <w:t>.</w:t>
      </w:r>
      <w:r w:rsidR="0019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Najgorsza sytuacja występuje w Katowicach, Warszawie, Krakowie, Wrocławiu, Lublinie i Gdańsku. </w:t>
      </w:r>
      <w:r w:rsidR="00556818">
        <w:rPr>
          <w:rFonts w:ascii="Times New Roman" w:hAnsi="Times New Roman" w:cs="Times New Roman"/>
          <w:sz w:val="28"/>
          <w:szCs w:val="28"/>
        </w:rPr>
        <w:t>Ogrody położone w tych miastach, które nie są przeznaczone w miejscowych planach bądź w studium na zieleń działkową, jako pierwsze „pójdą pod młotek”.</w:t>
      </w:r>
      <w:r w:rsidR="004238B5">
        <w:rPr>
          <w:rFonts w:ascii="Times New Roman" w:hAnsi="Times New Roman" w:cs="Times New Roman"/>
          <w:sz w:val="28"/>
          <w:szCs w:val="28"/>
        </w:rPr>
        <w:t xml:space="preserve"> To właśnie te rodzinne ogrody działkowe najszybciej odczują skutki „sprawiedliwego” wyroku Trybunału Konstytucyjnego.</w:t>
      </w:r>
      <w:r w:rsidR="0019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43" w:rsidRDefault="00193338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Przeprowadzone badanie pozwoli także wskazać kierunki </w:t>
      </w:r>
      <w:r w:rsidR="00AF0FFD">
        <w:rPr>
          <w:rFonts w:ascii="Times New Roman" w:hAnsi="Times New Roman" w:cs="Times New Roman"/>
          <w:sz w:val="28"/>
          <w:szCs w:val="28"/>
        </w:rPr>
        <w:t xml:space="preserve">rozwiązań, które należy przyjąć w projekcie obywatelskiej ustawy o rodzinnych ogrodach działkowych, aby zabezpieczyć interesy działkowców, mając na uwadze wyrok Trybunału Konstytucyjnego, z którym przedmiotowy projekt musi być zgodny. </w:t>
      </w:r>
      <w:r w:rsidR="000F1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FD8" w:rsidRDefault="00193338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Jednocześnie, badanie to pokazuje, jak 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>ważnym elementem regulacji stanu prawnego grun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>tów ROD jest</w:t>
      </w:r>
      <w:r w:rsidR="00AF0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ujęcie rodzinnych ogrodów działkowych w miejscowych planach i studiach.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Dlatego też 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>uczestniczenie Zwią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>zku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działkowców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tworzeniu </w:t>
      </w:r>
      <w:r w:rsidR="00AF0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tych planów 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także 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>wręcz walka o zachowanie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nich ogrodów</w:t>
      </w:r>
      <w:r w:rsidR="00AF0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jest zadaniem priorytetowym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>. Ta walka to przekonywanie włodarzy miast, radnych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lokalne społeczeństwo o słuszności 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>istnienia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ogrodu działkowego na danym terenie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poprzez p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>okazywanie roli i funkcji ogrod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>działkow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>ego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dla</w:t>
      </w:r>
      <w:r w:rsidR="009E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lokalnego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społeczeństwa i miast</w:t>
      </w:r>
      <w:r w:rsidR="009E2FD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Przeprowadzone badanie w wybranych</w:t>
      </w:r>
      <w:r w:rsidR="000F1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 miastach Polski pokazuje, iż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Gdańsku, Lublinie, Krakowie, Warszawie, Gliwicach, K</w:t>
      </w:r>
      <w:r w:rsidR="004238B5">
        <w:rPr>
          <w:rFonts w:ascii="Times New Roman" w:hAnsi="Times New Roman" w:cs="Times New Roman"/>
          <w:color w:val="000000" w:themeColor="text1"/>
          <w:sz w:val="28"/>
          <w:szCs w:val="28"/>
        </w:rPr>
        <w:t>atowicach i we</w:t>
      </w:r>
      <w:r w:rsidR="00917A16" w:rsidRP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Wrocławiu rodzinne ogrody działkowe nie są postrzegane jako trwały element polityki przestrzennej miast.</w:t>
      </w:r>
      <w:r w:rsidR="009E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miastach tych o</w:t>
      </w:r>
      <w:r w:rsidR="008F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grody nie zostały ujęte w studiach i miejscowych planach zagospodarowania przestrzennego lub nie przystąpiono do ich sporządzania. </w:t>
      </w:r>
    </w:p>
    <w:p w:rsidR="009E2FD8" w:rsidRDefault="008F43AD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takim stanie rzeczy winni być bezpośrednio informowani działkowcy, gdyż przez takie działania narażone są ich 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>prawa,</w:t>
      </w:r>
      <w:r w:rsidR="009E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istnienie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ogrodu i jego bezpieczne</w:t>
      </w:r>
      <w:r w:rsidR="009E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funkcjonowanie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danym terenie. </w:t>
      </w:r>
    </w:p>
    <w:p w:rsidR="008371B5" w:rsidRDefault="009E2FD8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 etapie</w:t>
      </w:r>
      <w:r w:rsidR="00BF6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podejmowania przez gminy procedur planistycznych obejmujących uchwalanie miejscowego planu przestrzennego lub jego zmian, struktury Związku a także sami działkowcy winni bacznie sprawdzać komunikaty na stronach internetowych gmin. Sprawdzać ogłoszenia w prasie miejscowej oraz obwieszczenia w miejscach zwyczajowo przyjętych w danej miejscowości, w których informuje się o przystąpieniu do sporządzania studium uwarunkowań i kierunków zagospodarowania przestrzennego gminy lub miejscowego planu zagospodarowania przestrzennego.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Aktywnie włączać się do zgłaszania uwag 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wniosków. Dużą  rolę w tym względzie mogą odegrać sami działkowcy, którzy jednocześnie reprezentują lokalne społeczeństwo i mają prawo oczekiwać od włodarz</w:t>
      </w:r>
      <w:r w:rsidR="008B7DC8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miast, aby ich zdanie zostało uwzględnione w kształtowaniu zagospodarowania przestrzennego ich miejscowości.</w:t>
      </w:r>
    </w:p>
    <w:p w:rsidR="00FE5559" w:rsidRPr="008F43AD" w:rsidRDefault="008371B5" w:rsidP="008B7DC8">
      <w:pPr>
        <w:spacing w:after="100" w:afterAutospacing="1" w:line="26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Decydowanie o przyszłości ogrodów działkowych, nie może odbywać się bez istotnego udziału rodzinnych ogrodów działkowych i działkowców, którzy są żywotnie zainteresowani zachowaniem czy umieszczeniem ogrodów w planach, a w przypadku istnienia ogrodu w planie zapewnienie sobie </w:t>
      </w:r>
      <w:r w:rsidR="008B7D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odpowiednieg</w:t>
      </w:r>
      <w:r w:rsidR="008B7DC8">
        <w:rPr>
          <w:rFonts w:ascii="Times New Roman" w:hAnsi="Times New Roman" w:cs="Times New Roman"/>
          <w:color w:val="000000" w:themeColor="text1"/>
          <w:sz w:val="28"/>
          <w:szCs w:val="28"/>
        </w:rPr>
        <w:t>o” sąsiedztwa, które  nie przesą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dzi o jego likwidacji.</w:t>
      </w:r>
    </w:p>
    <w:p w:rsidR="00AF0FFD" w:rsidRDefault="00AF0FFD" w:rsidP="00E25B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BE0" w:rsidRDefault="00927D1B" w:rsidP="00E25B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BE0">
        <w:rPr>
          <w:rFonts w:ascii="Times New Roman" w:hAnsi="Times New Roman" w:cs="Times New Roman"/>
          <w:color w:val="000000" w:themeColor="text1"/>
          <w:sz w:val="24"/>
          <w:szCs w:val="24"/>
        </w:rPr>
        <w:t>Załącznik:</w:t>
      </w:r>
      <w:r w:rsidRPr="003D6C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tabela</w:t>
      </w:r>
      <w:r w:rsidR="00E25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25BE0" w:rsidRPr="00E25BE0">
        <w:rPr>
          <w:rFonts w:ascii="Times New Roman" w:hAnsi="Times New Roman" w:cs="Times New Roman"/>
          <w:color w:val="000000" w:themeColor="text1"/>
          <w:sz w:val="24"/>
          <w:szCs w:val="24"/>
        </w:rPr>
        <w:t>ROD w studiach uwarunkowań i kierunków zagospodarowania przestrzennego gmin  i miejscowych planach zagospodarowania przestrzennego</w:t>
      </w:r>
    </w:p>
    <w:p w:rsidR="00A0714A" w:rsidRPr="00E02170" w:rsidRDefault="00A0714A" w:rsidP="00E25BE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E02170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Sporządził:</w:t>
      </w:r>
    </w:p>
    <w:p w:rsidR="00A0714A" w:rsidRPr="00E02170" w:rsidRDefault="00A0714A" w:rsidP="00E02170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021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Wydział Gospodarki Gruntami </w:t>
      </w:r>
      <w:r w:rsidR="00E02170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E02170">
        <w:rPr>
          <w:rFonts w:ascii="Times New Roman" w:hAnsi="Times New Roman" w:cs="Times New Roman"/>
          <w:color w:val="000000" w:themeColor="text1"/>
          <w:sz w:val="18"/>
          <w:szCs w:val="18"/>
        </w:rPr>
        <w:t>Krajowej Rady PZD</w:t>
      </w:r>
    </w:p>
    <w:p w:rsidR="00A0714A" w:rsidRDefault="00A0714A" w:rsidP="00E02170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02170">
        <w:rPr>
          <w:rFonts w:ascii="Times New Roman" w:hAnsi="Times New Roman" w:cs="Times New Roman"/>
          <w:color w:val="000000" w:themeColor="text1"/>
          <w:sz w:val="18"/>
          <w:szCs w:val="18"/>
        </w:rPr>
        <w:t>na podstawie danych przekazanych przez OZ PZD</w:t>
      </w:r>
    </w:p>
    <w:p w:rsidR="00E02170" w:rsidRPr="00E02170" w:rsidRDefault="00E02170" w:rsidP="00E02170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0714A" w:rsidRPr="00E02170" w:rsidRDefault="00A0714A" w:rsidP="00B8249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E02170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Opracowała:</w:t>
      </w:r>
    </w:p>
    <w:p w:rsidR="00A0714A" w:rsidRDefault="00C74914" w:rsidP="00B8249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02170">
        <w:rPr>
          <w:rFonts w:ascii="Times New Roman" w:hAnsi="Times New Roman" w:cs="Times New Roman"/>
          <w:color w:val="000000" w:themeColor="text1"/>
          <w:sz w:val="18"/>
          <w:szCs w:val="18"/>
        </w:rPr>
        <w:t>Aneta Bałon</w:t>
      </w:r>
    </w:p>
    <w:p w:rsidR="00E02170" w:rsidRDefault="00E02170" w:rsidP="00B8249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02170" w:rsidRDefault="00E02170" w:rsidP="00B8249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0714A" w:rsidRPr="007C2A5A" w:rsidRDefault="00A0714A" w:rsidP="00B8249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C2A5A">
        <w:rPr>
          <w:rFonts w:ascii="Times New Roman" w:hAnsi="Times New Roman" w:cs="Times New Roman"/>
          <w:i/>
          <w:sz w:val="18"/>
          <w:szCs w:val="18"/>
        </w:rPr>
        <w:t>Warszawa</w:t>
      </w:r>
      <w:r w:rsidR="00C74914" w:rsidRPr="007C2A5A">
        <w:rPr>
          <w:rFonts w:ascii="Times New Roman" w:hAnsi="Times New Roman" w:cs="Times New Roman"/>
          <w:i/>
          <w:sz w:val="18"/>
          <w:szCs w:val="18"/>
        </w:rPr>
        <w:t>,</w:t>
      </w:r>
      <w:r w:rsidRPr="007C2A5A">
        <w:rPr>
          <w:rFonts w:ascii="Times New Roman" w:hAnsi="Times New Roman" w:cs="Times New Roman"/>
          <w:i/>
          <w:sz w:val="18"/>
          <w:szCs w:val="18"/>
        </w:rPr>
        <w:t xml:space="preserve"> dnia </w:t>
      </w:r>
      <w:r w:rsidR="007C2A5A" w:rsidRPr="007C2A5A">
        <w:rPr>
          <w:rFonts w:ascii="Times New Roman" w:hAnsi="Times New Roman" w:cs="Times New Roman"/>
          <w:i/>
          <w:sz w:val="18"/>
          <w:szCs w:val="18"/>
        </w:rPr>
        <w:t xml:space="preserve">6 września </w:t>
      </w:r>
      <w:r w:rsidRPr="007C2A5A">
        <w:rPr>
          <w:rFonts w:ascii="Times New Roman" w:hAnsi="Times New Roman" w:cs="Times New Roman"/>
          <w:i/>
          <w:sz w:val="18"/>
          <w:szCs w:val="18"/>
        </w:rPr>
        <w:t>201</w:t>
      </w:r>
      <w:r w:rsidR="00C74914" w:rsidRPr="007C2A5A">
        <w:rPr>
          <w:rFonts w:ascii="Times New Roman" w:hAnsi="Times New Roman" w:cs="Times New Roman"/>
          <w:i/>
          <w:sz w:val="18"/>
          <w:szCs w:val="18"/>
        </w:rPr>
        <w:t xml:space="preserve">2 </w:t>
      </w:r>
      <w:r w:rsidRPr="007C2A5A">
        <w:rPr>
          <w:rFonts w:ascii="Times New Roman" w:hAnsi="Times New Roman" w:cs="Times New Roman"/>
          <w:i/>
          <w:sz w:val="18"/>
          <w:szCs w:val="18"/>
        </w:rPr>
        <w:t>r.</w:t>
      </w:r>
      <w:r w:rsidR="007D294C" w:rsidRPr="007C2A5A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sectPr w:rsidR="00A0714A" w:rsidRPr="007C2A5A" w:rsidSect="008B7DC8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2B" w:rsidRDefault="00151F2B" w:rsidP="009730D7">
      <w:pPr>
        <w:spacing w:after="0" w:line="240" w:lineRule="auto"/>
      </w:pPr>
      <w:r>
        <w:separator/>
      </w:r>
    </w:p>
  </w:endnote>
  <w:endnote w:type="continuationSeparator" w:id="0">
    <w:p w:rsidR="00151F2B" w:rsidRDefault="00151F2B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7907"/>
      <w:docPartObj>
        <w:docPartGallery w:val="Page Numbers (Bottom of Page)"/>
        <w:docPartUnique/>
      </w:docPartObj>
    </w:sdtPr>
    <w:sdtContent>
      <w:p w:rsidR="00495402" w:rsidRDefault="00495402">
        <w:pPr>
          <w:pStyle w:val="Stopka"/>
          <w:jc w:val="center"/>
        </w:pPr>
        <w:fldSimple w:instr=" PAGE   \* MERGEFORMAT ">
          <w:r w:rsidR="00196B2D">
            <w:rPr>
              <w:noProof/>
            </w:rPr>
            <w:t>4</w:t>
          </w:r>
        </w:fldSimple>
      </w:p>
    </w:sdtContent>
  </w:sdt>
  <w:p w:rsidR="00495402" w:rsidRDefault="004954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2B" w:rsidRDefault="00151F2B" w:rsidP="009730D7">
      <w:pPr>
        <w:spacing w:after="0" w:line="240" w:lineRule="auto"/>
      </w:pPr>
      <w:r>
        <w:separator/>
      </w:r>
    </w:p>
  </w:footnote>
  <w:footnote w:type="continuationSeparator" w:id="0">
    <w:p w:rsidR="00151F2B" w:rsidRDefault="00151F2B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EF4"/>
    <w:multiLevelType w:val="hybridMultilevel"/>
    <w:tmpl w:val="4F9C9928"/>
    <w:lvl w:ilvl="0" w:tplc="5E08B1D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4240CF"/>
    <w:multiLevelType w:val="hybridMultilevel"/>
    <w:tmpl w:val="2140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0DC6"/>
    <w:multiLevelType w:val="hybridMultilevel"/>
    <w:tmpl w:val="455C27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BEB667D"/>
    <w:multiLevelType w:val="hybridMultilevel"/>
    <w:tmpl w:val="2A8C9AA6"/>
    <w:lvl w:ilvl="0" w:tplc="5E08B1D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D522E28"/>
    <w:multiLevelType w:val="hybridMultilevel"/>
    <w:tmpl w:val="5A94677E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0E840DED"/>
    <w:multiLevelType w:val="hybridMultilevel"/>
    <w:tmpl w:val="B90CB2F8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>
    <w:nsid w:val="1AB24697"/>
    <w:multiLevelType w:val="hybridMultilevel"/>
    <w:tmpl w:val="C804D6EC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34DA2"/>
    <w:multiLevelType w:val="hybridMultilevel"/>
    <w:tmpl w:val="A58C9F1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1351897"/>
    <w:multiLevelType w:val="hybridMultilevel"/>
    <w:tmpl w:val="2E445324"/>
    <w:lvl w:ilvl="0" w:tplc="E28007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921779"/>
    <w:multiLevelType w:val="hybridMultilevel"/>
    <w:tmpl w:val="83921CBC"/>
    <w:lvl w:ilvl="0" w:tplc="5E08B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2477B"/>
    <w:multiLevelType w:val="hybridMultilevel"/>
    <w:tmpl w:val="F476FA02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A54F5"/>
    <w:multiLevelType w:val="hybridMultilevel"/>
    <w:tmpl w:val="F8EAF412"/>
    <w:lvl w:ilvl="0" w:tplc="5E08B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5A6F68"/>
    <w:multiLevelType w:val="hybridMultilevel"/>
    <w:tmpl w:val="708AF25A"/>
    <w:lvl w:ilvl="0" w:tplc="E28007E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1FE130D"/>
    <w:multiLevelType w:val="hybridMultilevel"/>
    <w:tmpl w:val="39D4DA12"/>
    <w:lvl w:ilvl="0" w:tplc="5E08B1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57B5FEA"/>
    <w:multiLevelType w:val="hybridMultilevel"/>
    <w:tmpl w:val="552C0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FD66EF"/>
    <w:multiLevelType w:val="hybridMultilevel"/>
    <w:tmpl w:val="5ABC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68A1"/>
    <w:multiLevelType w:val="hybridMultilevel"/>
    <w:tmpl w:val="7664617C"/>
    <w:lvl w:ilvl="0" w:tplc="5E08B1D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3F9578B2"/>
    <w:multiLevelType w:val="hybridMultilevel"/>
    <w:tmpl w:val="912CEA0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438A4E8B"/>
    <w:multiLevelType w:val="hybridMultilevel"/>
    <w:tmpl w:val="BF3E6636"/>
    <w:lvl w:ilvl="0" w:tplc="E28007E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9C5C26"/>
    <w:multiLevelType w:val="hybridMultilevel"/>
    <w:tmpl w:val="E3106E72"/>
    <w:lvl w:ilvl="0" w:tplc="5E08B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16214"/>
    <w:multiLevelType w:val="hybridMultilevel"/>
    <w:tmpl w:val="EF0C2F8C"/>
    <w:lvl w:ilvl="0" w:tplc="5E08B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4F594A"/>
    <w:multiLevelType w:val="hybridMultilevel"/>
    <w:tmpl w:val="0AEEC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C2975"/>
    <w:multiLevelType w:val="hybridMultilevel"/>
    <w:tmpl w:val="38DA9350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B3DA9"/>
    <w:multiLevelType w:val="hybridMultilevel"/>
    <w:tmpl w:val="9EBAE65E"/>
    <w:lvl w:ilvl="0" w:tplc="E28007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91651B"/>
    <w:multiLevelType w:val="hybridMultilevel"/>
    <w:tmpl w:val="FF921400"/>
    <w:lvl w:ilvl="0" w:tplc="E28007EC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D6222C"/>
    <w:multiLevelType w:val="hybridMultilevel"/>
    <w:tmpl w:val="4BFC5D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AB5ACE"/>
    <w:multiLevelType w:val="hybridMultilevel"/>
    <w:tmpl w:val="B36EF7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3321F"/>
    <w:multiLevelType w:val="hybridMultilevel"/>
    <w:tmpl w:val="2642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4A43"/>
    <w:multiLevelType w:val="hybridMultilevel"/>
    <w:tmpl w:val="4600C1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F328A9"/>
    <w:multiLevelType w:val="hybridMultilevel"/>
    <w:tmpl w:val="1BF281DE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72952"/>
    <w:multiLevelType w:val="hybridMultilevel"/>
    <w:tmpl w:val="C6FE86D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639A6027"/>
    <w:multiLevelType w:val="hybridMultilevel"/>
    <w:tmpl w:val="FC24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E31C4"/>
    <w:multiLevelType w:val="hybridMultilevel"/>
    <w:tmpl w:val="F176DF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6D5CC5"/>
    <w:multiLevelType w:val="hybridMultilevel"/>
    <w:tmpl w:val="6C92C060"/>
    <w:lvl w:ilvl="0" w:tplc="5E08B1D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6BC112C7"/>
    <w:multiLevelType w:val="hybridMultilevel"/>
    <w:tmpl w:val="3FFAD8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D7D31AC"/>
    <w:multiLevelType w:val="hybridMultilevel"/>
    <w:tmpl w:val="A40CC800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471AD"/>
    <w:multiLevelType w:val="hybridMultilevel"/>
    <w:tmpl w:val="A58C87AA"/>
    <w:lvl w:ilvl="0" w:tplc="E28007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253211"/>
    <w:multiLevelType w:val="hybridMultilevel"/>
    <w:tmpl w:val="0916F66C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67B10"/>
    <w:multiLevelType w:val="hybridMultilevel"/>
    <w:tmpl w:val="E3FE0906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0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18"/>
  </w:num>
  <w:num w:numId="14">
    <w:abstractNumId w:val="22"/>
  </w:num>
  <w:num w:numId="15">
    <w:abstractNumId w:val="7"/>
  </w:num>
  <w:num w:numId="16">
    <w:abstractNumId w:val="10"/>
  </w:num>
  <w:num w:numId="17">
    <w:abstractNumId w:val="15"/>
  </w:num>
  <w:num w:numId="18">
    <w:abstractNumId w:val="35"/>
  </w:num>
  <w:num w:numId="19">
    <w:abstractNumId w:val="34"/>
  </w:num>
  <w:num w:numId="20">
    <w:abstractNumId w:val="29"/>
  </w:num>
  <w:num w:numId="21">
    <w:abstractNumId w:val="27"/>
  </w:num>
  <w:num w:numId="22">
    <w:abstractNumId w:val="33"/>
  </w:num>
  <w:num w:numId="23">
    <w:abstractNumId w:val="31"/>
  </w:num>
  <w:num w:numId="24">
    <w:abstractNumId w:val="28"/>
  </w:num>
  <w:num w:numId="25">
    <w:abstractNumId w:val="1"/>
  </w:num>
  <w:num w:numId="26">
    <w:abstractNumId w:val="24"/>
  </w:num>
  <w:num w:numId="27">
    <w:abstractNumId w:val="37"/>
  </w:num>
  <w:num w:numId="28">
    <w:abstractNumId w:val="19"/>
  </w:num>
  <w:num w:numId="29">
    <w:abstractNumId w:val="25"/>
  </w:num>
  <w:num w:numId="30">
    <w:abstractNumId w:val="9"/>
  </w:num>
  <w:num w:numId="31">
    <w:abstractNumId w:val="38"/>
  </w:num>
  <w:num w:numId="32">
    <w:abstractNumId w:val="13"/>
  </w:num>
  <w:num w:numId="33">
    <w:abstractNumId w:val="36"/>
  </w:num>
  <w:num w:numId="34">
    <w:abstractNumId w:val="39"/>
  </w:num>
  <w:num w:numId="35">
    <w:abstractNumId w:val="23"/>
  </w:num>
  <w:num w:numId="36">
    <w:abstractNumId w:val="6"/>
  </w:num>
  <w:num w:numId="37">
    <w:abstractNumId w:val="30"/>
  </w:num>
  <w:num w:numId="38">
    <w:abstractNumId w:val="1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1C"/>
    <w:rsid w:val="000124A6"/>
    <w:rsid w:val="000233B5"/>
    <w:rsid w:val="00031AA5"/>
    <w:rsid w:val="0004015D"/>
    <w:rsid w:val="00054339"/>
    <w:rsid w:val="0005441A"/>
    <w:rsid w:val="00072C39"/>
    <w:rsid w:val="000740F9"/>
    <w:rsid w:val="000901B4"/>
    <w:rsid w:val="00096937"/>
    <w:rsid w:val="000A01B8"/>
    <w:rsid w:val="000B1531"/>
    <w:rsid w:val="000B1B37"/>
    <w:rsid w:val="000B3AF9"/>
    <w:rsid w:val="000B4995"/>
    <w:rsid w:val="000C2C5B"/>
    <w:rsid w:val="000C2C7B"/>
    <w:rsid w:val="000C7642"/>
    <w:rsid w:val="000D06F5"/>
    <w:rsid w:val="000D5D35"/>
    <w:rsid w:val="000D6253"/>
    <w:rsid w:val="000F0763"/>
    <w:rsid w:val="000F1B9C"/>
    <w:rsid w:val="000F5888"/>
    <w:rsid w:val="000F764E"/>
    <w:rsid w:val="0010141A"/>
    <w:rsid w:val="00112056"/>
    <w:rsid w:val="00113111"/>
    <w:rsid w:val="00114BE6"/>
    <w:rsid w:val="001174F5"/>
    <w:rsid w:val="0012408B"/>
    <w:rsid w:val="00124E64"/>
    <w:rsid w:val="00125EFF"/>
    <w:rsid w:val="00130CF1"/>
    <w:rsid w:val="00151F2B"/>
    <w:rsid w:val="0015618D"/>
    <w:rsid w:val="00161691"/>
    <w:rsid w:val="001656B1"/>
    <w:rsid w:val="001746CE"/>
    <w:rsid w:val="00180CCE"/>
    <w:rsid w:val="0019280A"/>
    <w:rsid w:val="00193338"/>
    <w:rsid w:val="0019510E"/>
    <w:rsid w:val="00195B05"/>
    <w:rsid w:val="0019647B"/>
    <w:rsid w:val="00196B2D"/>
    <w:rsid w:val="001B250B"/>
    <w:rsid w:val="001C1204"/>
    <w:rsid w:val="001C2ED5"/>
    <w:rsid w:val="001C5BE3"/>
    <w:rsid w:val="001C67C4"/>
    <w:rsid w:val="001D598F"/>
    <w:rsid w:val="001E73CA"/>
    <w:rsid w:val="001E761F"/>
    <w:rsid w:val="001F3F55"/>
    <w:rsid w:val="002069B8"/>
    <w:rsid w:val="00224D27"/>
    <w:rsid w:val="00267498"/>
    <w:rsid w:val="00290CEA"/>
    <w:rsid w:val="0029188A"/>
    <w:rsid w:val="002B04AC"/>
    <w:rsid w:val="002B42E8"/>
    <w:rsid w:val="002C444E"/>
    <w:rsid w:val="002D11A4"/>
    <w:rsid w:val="002D2EDD"/>
    <w:rsid w:val="002D60F2"/>
    <w:rsid w:val="002E0BD9"/>
    <w:rsid w:val="002E4A6B"/>
    <w:rsid w:val="002E5C29"/>
    <w:rsid w:val="002E5FE3"/>
    <w:rsid w:val="003078AF"/>
    <w:rsid w:val="00315F9E"/>
    <w:rsid w:val="00316178"/>
    <w:rsid w:val="00316C0F"/>
    <w:rsid w:val="003344A3"/>
    <w:rsid w:val="00334B6D"/>
    <w:rsid w:val="00335F7D"/>
    <w:rsid w:val="00347208"/>
    <w:rsid w:val="00351FCE"/>
    <w:rsid w:val="00351FE9"/>
    <w:rsid w:val="00367729"/>
    <w:rsid w:val="00375BFF"/>
    <w:rsid w:val="00381C20"/>
    <w:rsid w:val="003831E0"/>
    <w:rsid w:val="00383704"/>
    <w:rsid w:val="003870A0"/>
    <w:rsid w:val="003970D7"/>
    <w:rsid w:val="003A5726"/>
    <w:rsid w:val="003C051C"/>
    <w:rsid w:val="003C70DA"/>
    <w:rsid w:val="003D0F68"/>
    <w:rsid w:val="003D3A4E"/>
    <w:rsid w:val="003D6CF9"/>
    <w:rsid w:val="003E01DE"/>
    <w:rsid w:val="003E62E0"/>
    <w:rsid w:val="003F422A"/>
    <w:rsid w:val="0040055B"/>
    <w:rsid w:val="004149C0"/>
    <w:rsid w:val="00423535"/>
    <w:rsid w:val="004238B5"/>
    <w:rsid w:val="004250A5"/>
    <w:rsid w:val="00430B7F"/>
    <w:rsid w:val="0044367D"/>
    <w:rsid w:val="00445BFF"/>
    <w:rsid w:val="0044645D"/>
    <w:rsid w:val="0045539D"/>
    <w:rsid w:val="00461EFD"/>
    <w:rsid w:val="00490BB3"/>
    <w:rsid w:val="00495402"/>
    <w:rsid w:val="004A0A47"/>
    <w:rsid w:val="004A15E0"/>
    <w:rsid w:val="004A4F65"/>
    <w:rsid w:val="004A611C"/>
    <w:rsid w:val="004B3F43"/>
    <w:rsid w:val="004B4A2C"/>
    <w:rsid w:val="004C0AA9"/>
    <w:rsid w:val="004C7C49"/>
    <w:rsid w:val="004D3DC3"/>
    <w:rsid w:val="004D5648"/>
    <w:rsid w:val="004E4ADA"/>
    <w:rsid w:val="004E4E09"/>
    <w:rsid w:val="004F4A29"/>
    <w:rsid w:val="00500377"/>
    <w:rsid w:val="00500D7A"/>
    <w:rsid w:val="00520642"/>
    <w:rsid w:val="00542812"/>
    <w:rsid w:val="0054710F"/>
    <w:rsid w:val="00551801"/>
    <w:rsid w:val="005560C7"/>
    <w:rsid w:val="00556818"/>
    <w:rsid w:val="00562054"/>
    <w:rsid w:val="00566676"/>
    <w:rsid w:val="005812F3"/>
    <w:rsid w:val="005860DF"/>
    <w:rsid w:val="005905BF"/>
    <w:rsid w:val="00592691"/>
    <w:rsid w:val="005A1C31"/>
    <w:rsid w:val="005A35FB"/>
    <w:rsid w:val="005A39ED"/>
    <w:rsid w:val="005A75B3"/>
    <w:rsid w:val="005B308B"/>
    <w:rsid w:val="005B6A26"/>
    <w:rsid w:val="005C197C"/>
    <w:rsid w:val="005D1AFF"/>
    <w:rsid w:val="005D2965"/>
    <w:rsid w:val="005E1416"/>
    <w:rsid w:val="005F6B07"/>
    <w:rsid w:val="00617BC7"/>
    <w:rsid w:val="00626999"/>
    <w:rsid w:val="00627B42"/>
    <w:rsid w:val="00641844"/>
    <w:rsid w:val="0064588F"/>
    <w:rsid w:val="0066116C"/>
    <w:rsid w:val="00663BC6"/>
    <w:rsid w:val="00664A44"/>
    <w:rsid w:val="0066673D"/>
    <w:rsid w:val="00670303"/>
    <w:rsid w:val="00685CF7"/>
    <w:rsid w:val="00686178"/>
    <w:rsid w:val="00692D27"/>
    <w:rsid w:val="00697D40"/>
    <w:rsid w:val="006A0256"/>
    <w:rsid w:val="006A2A3E"/>
    <w:rsid w:val="006B10D8"/>
    <w:rsid w:val="006B332A"/>
    <w:rsid w:val="006C0995"/>
    <w:rsid w:val="006E126A"/>
    <w:rsid w:val="006E1FEA"/>
    <w:rsid w:val="006E6EC4"/>
    <w:rsid w:val="006E7671"/>
    <w:rsid w:val="006F30E8"/>
    <w:rsid w:val="006F475E"/>
    <w:rsid w:val="006F7D4F"/>
    <w:rsid w:val="00702FEE"/>
    <w:rsid w:val="007077DC"/>
    <w:rsid w:val="00710E5F"/>
    <w:rsid w:val="00735CA0"/>
    <w:rsid w:val="007372C8"/>
    <w:rsid w:val="00740AF0"/>
    <w:rsid w:val="00743D04"/>
    <w:rsid w:val="00755C8C"/>
    <w:rsid w:val="00757F41"/>
    <w:rsid w:val="0076034A"/>
    <w:rsid w:val="0076170C"/>
    <w:rsid w:val="007623C4"/>
    <w:rsid w:val="00774E4D"/>
    <w:rsid w:val="0079156F"/>
    <w:rsid w:val="007979D8"/>
    <w:rsid w:val="007A4640"/>
    <w:rsid w:val="007A4F26"/>
    <w:rsid w:val="007A5231"/>
    <w:rsid w:val="007C2A5A"/>
    <w:rsid w:val="007D294C"/>
    <w:rsid w:val="007D4F22"/>
    <w:rsid w:val="007D4F9F"/>
    <w:rsid w:val="007D65AD"/>
    <w:rsid w:val="007E1D73"/>
    <w:rsid w:val="007F0417"/>
    <w:rsid w:val="007F4F14"/>
    <w:rsid w:val="0080042D"/>
    <w:rsid w:val="00802638"/>
    <w:rsid w:val="00805BBB"/>
    <w:rsid w:val="00823706"/>
    <w:rsid w:val="00835242"/>
    <w:rsid w:val="008370D1"/>
    <w:rsid w:val="008371B5"/>
    <w:rsid w:val="00850A0A"/>
    <w:rsid w:val="00882759"/>
    <w:rsid w:val="00893B80"/>
    <w:rsid w:val="00894FA4"/>
    <w:rsid w:val="008B3026"/>
    <w:rsid w:val="008B7DC8"/>
    <w:rsid w:val="008C0A5D"/>
    <w:rsid w:val="008C4FB9"/>
    <w:rsid w:val="008D16E0"/>
    <w:rsid w:val="008D5D7F"/>
    <w:rsid w:val="008D788E"/>
    <w:rsid w:val="008D7AD7"/>
    <w:rsid w:val="008F1F15"/>
    <w:rsid w:val="008F2BC6"/>
    <w:rsid w:val="008F43AD"/>
    <w:rsid w:val="008F660E"/>
    <w:rsid w:val="00900143"/>
    <w:rsid w:val="00917A16"/>
    <w:rsid w:val="00927D1B"/>
    <w:rsid w:val="00937C58"/>
    <w:rsid w:val="009401A8"/>
    <w:rsid w:val="00941BCD"/>
    <w:rsid w:val="00954C54"/>
    <w:rsid w:val="00954F1C"/>
    <w:rsid w:val="009572DA"/>
    <w:rsid w:val="00972133"/>
    <w:rsid w:val="009730D7"/>
    <w:rsid w:val="009760C5"/>
    <w:rsid w:val="0098130B"/>
    <w:rsid w:val="00984F00"/>
    <w:rsid w:val="009A48B0"/>
    <w:rsid w:val="009B21FA"/>
    <w:rsid w:val="009C1394"/>
    <w:rsid w:val="009D1E49"/>
    <w:rsid w:val="009D539D"/>
    <w:rsid w:val="009E2FD8"/>
    <w:rsid w:val="009F4CED"/>
    <w:rsid w:val="009F4D2C"/>
    <w:rsid w:val="00A0136D"/>
    <w:rsid w:val="00A01DA1"/>
    <w:rsid w:val="00A0714A"/>
    <w:rsid w:val="00A07B9F"/>
    <w:rsid w:val="00A31B3E"/>
    <w:rsid w:val="00A3534B"/>
    <w:rsid w:val="00A50DCD"/>
    <w:rsid w:val="00A51F50"/>
    <w:rsid w:val="00A613F4"/>
    <w:rsid w:val="00A80E99"/>
    <w:rsid w:val="00A909DB"/>
    <w:rsid w:val="00AA09E0"/>
    <w:rsid w:val="00AA62F5"/>
    <w:rsid w:val="00AB5B08"/>
    <w:rsid w:val="00AB7BA7"/>
    <w:rsid w:val="00AC20B7"/>
    <w:rsid w:val="00AD5E30"/>
    <w:rsid w:val="00AF0FFD"/>
    <w:rsid w:val="00AF47BA"/>
    <w:rsid w:val="00B001D3"/>
    <w:rsid w:val="00B116A9"/>
    <w:rsid w:val="00B15EBF"/>
    <w:rsid w:val="00B243C5"/>
    <w:rsid w:val="00B43E0E"/>
    <w:rsid w:val="00B44A59"/>
    <w:rsid w:val="00B537DF"/>
    <w:rsid w:val="00B579D8"/>
    <w:rsid w:val="00B654EA"/>
    <w:rsid w:val="00B6593D"/>
    <w:rsid w:val="00B6725B"/>
    <w:rsid w:val="00B7431A"/>
    <w:rsid w:val="00B753B3"/>
    <w:rsid w:val="00B75891"/>
    <w:rsid w:val="00B82493"/>
    <w:rsid w:val="00B86365"/>
    <w:rsid w:val="00BA5ADB"/>
    <w:rsid w:val="00BB012F"/>
    <w:rsid w:val="00BB3DE2"/>
    <w:rsid w:val="00BD500F"/>
    <w:rsid w:val="00BD62F5"/>
    <w:rsid w:val="00BE27B6"/>
    <w:rsid w:val="00BE6F73"/>
    <w:rsid w:val="00BF6097"/>
    <w:rsid w:val="00C00EAA"/>
    <w:rsid w:val="00C02E09"/>
    <w:rsid w:val="00C05715"/>
    <w:rsid w:val="00C073B2"/>
    <w:rsid w:val="00C12977"/>
    <w:rsid w:val="00C36AED"/>
    <w:rsid w:val="00C3736A"/>
    <w:rsid w:val="00C4786D"/>
    <w:rsid w:val="00C5676D"/>
    <w:rsid w:val="00C656EA"/>
    <w:rsid w:val="00C72818"/>
    <w:rsid w:val="00C74914"/>
    <w:rsid w:val="00C77BD2"/>
    <w:rsid w:val="00C84262"/>
    <w:rsid w:val="00C90773"/>
    <w:rsid w:val="00CA6A55"/>
    <w:rsid w:val="00CB1B00"/>
    <w:rsid w:val="00CB1E46"/>
    <w:rsid w:val="00CB55FD"/>
    <w:rsid w:val="00CD3A98"/>
    <w:rsid w:val="00CD4F09"/>
    <w:rsid w:val="00CD6563"/>
    <w:rsid w:val="00CD7479"/>
    <w:rsid w:val="00CF2665"/>
    <w:rsid w:val="00D007CF"/>
    <w:rsid w:val="00D32A05"/>
    <w:rsid w:val="00D40198"/>
    <w:rsid w:val="00D42905"/>
    <w:rsid w:val="00D52369"/>
    <w:rsid w:val="00D57E5D"/>
    <w:rsid w:val="00D60324"/>
    <w:rsid w:val="00D63CC6"/>
    <w:rsid w:val="00D641DA"/>
    <w:rsid w:val="00D64E94"/>
    <w:rsid w:val="00D73196"/>
    <w:rsid w:val="00D75F0B"/>
    <w:rsid w:val="00D930F4"/>
    <w:rsid w:val="00DA0525"/>
    <w:rsid w:val="00DA1F3D"/>
    <w:rsid w:val="00DA26DE"/>
    <w:rsid w:val="00DB3FC8"/>
    <w:rsid w:val="00DB400D"/>
    <w:rsid w:val="00DC408A"/>
    <w:rsid w:val="00DC7867"/>
    <w:rsid w:val="00DE130E"/>
    <w:rsid w:val="00DF2B3F"/>
    <w:rsid w:val="00E02170"/>
    <w:rsid w:val="00E16FC1"/>
    <w:rsid w:val="00E200F6"/>
    <w:rsid w:val="00E25BE0"/>
    <w:rsid w:val="00E26F5E"/>
    <w:rsid w:val="00E432EF"/>
    <w:rsid w:val="00E503E2"/>
    <w:rsid w:val="00E524B7"/>
    <w:rsid w:val="00E56F1E"/>
    <w:rsid w:val="00EA11AA"/>
    <w:rsid w:val="00EB649F"/>
    <w:rsid w:val="00EC7D5B"/>
    <w:rsid w:val="00EE2CB9"/>
    <w:rsid w:val="00EF0C36"/>
    <w:rsid w:val="00F036C2"/>
    <w:rsid w:val="00F06469"/>
    <w:rsid w:val="00F10D74"/>
    <w:rsid w:val="00F2492B"/>
    <w:rsid w:val="00F41AF9"/>
    <w:rsid w:val="00F51D9F"/>
    <w:rsid w:val="00F543B3"/>
    <w:rsid w:val="00F62065"/>
    <w:rsid w:val="00F633D1"/>
    <w:rsid w:val="00F81E65"/>
    <w:rsid w:val="00F86AAC"/>
    <w:rsid w:val="00F926AD"/>
    <w:rsid w:val="00F957A2"/>
    <w:rsid w:val="00FA6ECA"/>
    <w:rsid w:val="00FB22A0"/>
    <w:rsid w:val="00FC39FC"/>
    <w:rsid w:val="00FC5558"/>
    <w:rsid w:val="00FC5874"/>
    <w:rsid w:val="00FD56A3"/>
    <w:rsid w:val="00FD64AA"/>
    <w:rsid w:val="00FE0645"/>
    <w:rsid w:val="00FE1374"/>
    <w:rsid w:val="00FE2CA8"/>
    <w:rsid w:val="00FE3403"/>
    <w:rsid w:val="00FE5559"/>
    <w:rsid w:val="00FE6EC7"/>
    <w:rsid w:val="00FE766D"/>
    <w:rsid w:val="00FF4870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0D1"/>
  </w:style>
  <w:style w:type="paragraph" w:styleId="Stopka">
    <w:name w:val="footer"/>
    <w:basedOn w:val="Normalny"/>
    <w:link w:val="StopkaZnak"/>
    <w:uiPriority w:val="99"/>
    <w:unhideWhenUsed/>
    <w:rsid w:val="0083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0D1"/>
  </w:style>
  <w:style w:type="character" w:styleId="Hipercze">
    <w:name w:val="Hyperlink"/>
    <w:basedOn w:val="Domylnaczcionkaakapitu"/>
    <w:uiPriority w:val="99"/>
    <w:unhideWhenUsed/>
    <w:rsid w:val="009D5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5CB4-9115-4E71-9C1C-9E041053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2012-09-14T12:33:00Z</cp:lastPrinted>
  <dcterms:created xsi:type="dcterms:W3CDTF">2012-09-07T08:51:00Z</dcterms:created>
  <dcterms:modified xsi:type="dcterms:W3CDTF">2012-09-14T12:38:00Z</dcterms:modified>
</cp:coreProperties>
</file>