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F" w:rsidRPr="00A71B86" w:rsidRDefault="00D0604F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 zarząd ROD może wskazać oczekującego na działkę w ROD jako osobę, na rzecz której może nastąpić przen</w:t>
      </w:r>
      <w:r w:rsidR="00A71B86"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iesienie praw do działki </w:t>
      </w:r>
      <w:bookmarkEnd w:id="0"/>
      <w:r w:rsidR="00A71B86"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(art. 4</w:t>
      </w:r>
      <w:r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ust. 5 ustawy o ROD), o ile dopełni </w:t>
      </w:r>
      <w:r w:rsidR="00A71B86"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 </w:t>
      </w:r>
      <w:r w:rsidRPr="00A7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wymaganych formalności (oświadczenie o gotowości zapłaty na rzecz działkowca wynagrodzenia w wysokości wskazanej we wniosku o zatwierdzenie przeniesienia praw do działki)? Czy w takim przypadku zbywca może się nie zgodzić na zmianę osoby nabywającej? Czy wskazanie oczekującego na działkę stanowi ważny powód do odmowy zatwierdzenia przeniesienia praw do działki (art. 41 ust. 4 ustawy o ROD)?</w:t>
      </w:r>
    </w:p>
    <w:p w:rsidR="00632E58" w:rsidRPr="00A71B86" w:rsidRDefault="00632E58" w:rsidP="00A71B86">
      <w:pPr>
        <w:pStyle w:val="Akapitzlist"/>
        <w:shd w:val="clear" w:color="auto" w:fill="FFFFFF"/>
        <w:spacing w:before="0" w:beforeAutospacing="0" w:after="0" w:afterAutospacing="0" w:line="360" w:lineRule="auto"/>
        <w:ind w:left="780"/>
        <w:jc w:val="both"/>
        <w:rPr>
          <w:b/>
          <w:bCs/>
          <w:color w:val="000000"/>
          <w:sz w:val="28"/>
          <w:szCs w:val="28"/>
        </w:rPr>
      </w:pPr>
    </w:p>
    <w:p w:rsidR="00FB42A5" w:rsidRPr="00A71B86" w:rsidRDefault="008B1C4A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Zarząd ROD może wskazać dowolną osobę (czyli także osobę oczekującą na działkę w ROD) jako osobę</w:t>
      </w:r>
      <w:r w:rsidR="00A71B86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rzecz której może nastąpić przeniesienie praw do działki. Oczywiście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1B86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osoba 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taka musi dopełnić formalności</w:t>
      </w:r>
      <w:r w:rsidR="00A71B86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01B4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tj.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złożyć oświadczenie o gotowości zapłaty na rzecz działkowca wynagrodzenia w wysokości wskazanej we wniosku o zatwierdzenie przeniesienia praw do działki.</w:t>
      </w:r>
    </w:p>
    <w:p w:rsidR="00A71B86" w:rsidRPr="00A71B86" w:rsidRDefault="00A71B86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1C4A" w:rsidRPr="00A71B86" w:rsidRDefault="008B1C4A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Ustawa nie przewiduje odmowy „zbywcy” 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dotych</w:t>
      </w:r>
      <w:r w:rsidR="00FB42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czasowego użytkownika działki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B42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zmianę „nabywcy” 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B42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osoby na rzecz której następuje przeniesienie praw do działki</w:t>
      </w:r>
      <w:r w:rsidR="00D701B4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na osobę wskazaną przez zarząd ROD</w:t>
      </w:r>
      <w:r w:rsidR="00FB42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71B86" w:rsidRPr="00A71B86" w:rsidRDefault="00A71B86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57A5" w:rsidRPr="00A71B86" w:rsidRDefault="00A71B86" w:rsidP="00A7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Trzeba z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wrócić uwagę, iż ustawodawca </w:t>
      </w:r>
      <w:r w:rsidR="00D701B4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oddzielił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uregulowa</w:t>
      </w:r>
      <w:r w:rsidR="00D701B4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nie dotyczące odmowy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zatwierdzenia przeniesienia prawa do działki z ważnych powodów (zapisując to w art. 41 ust. 4) </w:t>
      </w:r>
      <w:r w:rsidR="00D701B4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od</w:t>
      </w:r>
      <w:r w:rsidR="00826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możliwości</w:t>
      </w:r>
      <w:r w:rsidR="002857A5"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odmowy zatwierdzenia umowy przeniesienia prawa do działki, gdy wskazana zostanie inna osoba, na rzecz której przeniesienia może nastąpić (art. 41 ust. 5). Stąd wniosek, że są to dwie różne sytuacje i wskazanie oczekującego na działkę nie jest ważnym powodem do odmowy zatwierdzenia przeniesienia prawa do działki 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rozumieniu art. 41 </w:t>
      </w: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ust. 4 ustawy o ROD, ale samodzielną podstawą do zniesienia skutków umowy o przeniesieniu praw do działki.</w:t>
      </w:r>
    </w:p>
    <w:p w:rsidR="00A71B86" w:rsidRPr="00A71B86" w:rsidRDefault="00A71B86" w:rsidP="00A71B86">
      <w:pPr>
        <w:shd w:val="clear" w:color="auto" w:fill="FFFFFF"/>
        <w:spacing w:after="0" w:line="360" w:lineRule="auto"/>
        <w:ind w:left="4248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Ewelina Świątek</w:t>
      </w:r>
    </w:p>
    <w:p w:rsidR="007C65E5" w:rsidRDefault="00A71B86" w:rsidP="00BA2FC2">
      <w:pPr>
        <w:shd w:val="clear" w:color="auto" w:fill="FFFFFF"/>
        <w:spacing w:after="0" w:line="360" w:lineRule="auto"/>
        <w:ind w:left="4248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B86">
        <w:rPr>
          <w:rFonts w:ascii="Times New Roman" w:hAnsi="Times New Roman" w:cs="Times New Roman"/>
          <w:bCs/>
          <w:color w:val="000000"/>
          <w:sz w:val="28"/>
          <w:szCs w:val="28"/>
        </w:rPr>
        <w:t>radca prawny OZ Mazowieckiego</w:t>
      </w:r>
    </w:p>
    <w:p w:rsidR="00C961AB" w:rsidRDefault="00C961AB" w:rsidP="00BA2FC2">
      <w:pPr>
        <w:shd w:val="clear" w:color="auto" w:fill="FFFFFF"/>
        <w:spacing w:after="0" w:line="360" w:lineRule="auto"/>
        <w:ind w:left="4248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1AB" w:rsidRPr="00C961AB" w:rsidRDefault="00C961AB" w:rsidP="00C961AB">
      <w:pPr>
        <w:shd w:val="clear" w:color="auto" w:fill="FFFFFF"/>
        <w:spacing w:after="0" w:line="360" w:lineRule="auto"/>
        <w:ind w:left="4248" w:hanging="4248"/>
        <w:rPr>
          <w:rFonts w:ascii="Times New Roman" w:hAnsi="Times New Roman" w:cs="Times New Roman"/>
          <w:i/>
          <w:sz w:val="28"/>
          <w:szCs w:val="28"/>
        </w:rPr>
      </w:pPr>
      <w:r w:rsidRPr="00C961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25.03.2014r.</w:t>
      </w:r>
    </w:p>
    <w:sectPr w:rsidR="00C961AB" w:rsidRPr="00C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567"/>
    <w:multiLevelType w:val="hybridMultilevel"/>
    <w:tmpl w:val="F72C060E"/>
    <w:lvl w:ilvl="0" w:tplc="4082438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F"/>
    <w:rsid w:val="000E3677"/>
    <w:rsid w:val="002857A5"/>
    <w:rsid w:val="002E5A37"/>
    <w:rsid w:val="002F3D74"/>
    <w:rsid w:val="00632E58"/>
    <w:rsid w:val="00671108"/>
    <w:rsid w:val="006B4992"/>
    <w:rsid w:val="007C65E5"/>
    <w:rsid w:val="007E46C8"/>
    <w:rsid w:val="00826DA4"/>
    <w:rsid w:val="008B1C4A"/>
    <w:rsid w:val="009E5A05"/>
    <w:rsid w:val="00A71B86"/>
    <w:rsid w:val="00A752C7"/>
    <w:rsid w:val="00BA1D48"/>
    <w:rsid w:val="00BA2FC2"/>
    <w:rsid w:val="00C961AB"/>
    <w:rsid w:val="00CF7ECB"/>
    <w:rsid w:val="00D0604F"/>
    <w:rsid w:val="00D06125"/>
    <w:rsid w:val="00D701B4"/>
    <w:rsid w:val="00E81DF2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604F"/>
  </w:style>
  <w:style w:type="paragraph" w:styleId="NormalnyWeb">
    <w:name w:val="Normal (Web)"/>
    <w:basedOn w:val="Normalny"/>
    <w:uiPriority w:val="99"/>
    <w:semiHidden/>
    <w:unhideWhenUsed/>
    <w:rsid w:val="00D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604F"/>
  </w:style>
  <w:style w:type="paragraph" w:styleId="NormalnyWeb">
    <w:name w:val="Normal (Web)"/>
    <w:basedOn w:val="Normalny"/>
    <w:uiPriority w:val="99"/>
    <w:semiHidden/>
    <w:unhideWhenUsed/>
    <w:rsid w:val="00D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cp:lastPrinted>2014-03-25T08:56:00Z</cp:lastPrinted>
  <dcterms:created xsi:type="dcterms:W3CDTF">2014-03-25T14:55:00Z</dcterms:created>
  <dcterms:modified xsi:type="dcterms:W3CDTF">2014-03-25T14:55:00Z</dcterms:modified>
</cp:coreProperties>
</file>